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Default Extension="png" ContentType="image/png"/>
  <Override PartName="/word/diagrams/data3.xml" ContentType="application/vnd.openxmlformats-officedocument.drawingml.diagramData+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5BC" w:rsidRPr="00D55DAB" w:rsidRDefault="00D55DAB" w:rsidP="00AE6D59">
      <w:pPr>
        <w:spacing w:line="240" w:lineRule="auto"/>
        <w:jc w:val="center"/>
        <w:rPr>
          <w:b/>
          <w:iCs/>
        </w:rPr>
      </w:pPr>
      <w:r w:rsidRPr="00D55DAB">
        <w:rPr>
          <w:b/>
          <w:iCs/>
        </w:rPr>
        <w:t xml:space="preserve">Handout </w:t>
      </w:r>
      <w:r w:rsidR="003A2CCB">
        <w:rPr>
          <w:b/>
          <w:iCs/>
        </w:rPr>
        <w:t>14</w:t>
      </w:r>
      <w:r w:rsidRPr="00D55DAB">
        <w:rPr>
          <w:b/>
          <w:iCs/>
        </w:rPr>
        <w:t xml:space="preserve">.2 – </w:t>
      </w:r>
      <w:r w:rsidR="007D05BC" w:rsidRPr="00D55DAB">
        <w:rPr>
          <w:b/>
          <w:iCs/>
        </w:rPr>
        <w:t>Key</w:t>
      </w:r>
      <w:r w:rsidRPr="00D55DAB">
        <w:rPr>
          <w:b/>
          <w:iCs/>
        </w:rPr>
        <w:t xml:space="preserve"> </w:t>
      </w:r>
      <w:r w:rsidR="007D05BC" w:rsidRPr="00D55DAB">
        <w:rPr>
          <w:b/>
          <w:iCs/>
        </w:rPr>
        <w:t>legal references and instruments on the right to education in emergencies</w:t>
      </w:r>
    </w:p>
    <w:p w:rsidR="001A1612" w:rsidRDefault="001A1612" w:rsidP="00AE6D59">
      <w:pPr>
        <w:spacing w:line="240" w:lineRule="auto"/>
        <w:ind w:firstLine="720"/>
        <w:rPr>
          <w:iCs/>
          <w:sz w:val="16"/>
          <w:szCs w:val="16"/>
        </w:rPr>
      </w:pPr>
      <w:r w:rsidRPr="001B1F55">
        <w:rPr>
          <w:b/>
          <w:iCs/>
          <w:sz w:val="16"/>
          <w:szCs w:val="16"/>
        </w:rPr>
        <w:t>National</w:t>
      </w:r>
      <w:r w:rsidR="000D488B">
        <w:rPr>
          <w:b/>
          <w:iCs/>
          <w:sz w:val="16"/>
          <w:szCs w:val="16"/>
        </w:rPr>
        <w:t>:</w:t>
      </w:r>
      <w:r w:rsidR="00D67B05" w:rsidRPr="001B1F55">
        <w:rPr>
          <w:b/>
          <w:iCs/>
          <w:sz w:val="16"/>
          <w:szCs w:val="16"/>
        </w:rPr>
        <w:t xml:space="preserve"> </w:t>
      </w:r>
      <w:r w:rsidR="000D488B">
        <w:rPr>
          <w:iCs/>
          <w:sz w:val="16"/>
          <w:szCs w:val="16"/>
        </w:rPr>
        <w:t>Constitutions;</w:t>
      </w:r>
      <w:r w:rsidRPr="001B1F55">
        <w:rPr>
          <w:iCs/>
          <w:sz w:val="16"/>
          <w:szCs w:val="16"/>
        </w:rPr>
        <w:t xml:space="preserve"> </w:t>
      </w:r>
      <w:r w:rsidR="000D488B">
        <w:rPr>
          <w:iCs/>
          <w:sz w:val="16"/>
          <w:szCs w:val="16"/>
        </w:rPr>
        <w:t xml:space="preserve">civil and administrative </w:t>
      </w:r>
      <w:r w:rsidRPr="001B1F55">
        <w:rPr>
          <w:iCs/>
          <w:sz w:val="16"/>
          <w:szCs w:val="16"/>
        </w:rPr>
        <w:t>laws and policies</w:t>
      </w:r>
      <w:r w:rsidR="000D488B">
        <w:rPr>
          <w:iCs/>
          <w:sz w:val="16"/>
          <w:szCs w:val="16"/>
        </w:rPr>
        <w:t xml:space="preserve"> </w:t>
      </w:r>
      <w:r w:rsidRPr="001B1F55">
        <w:rPr>
          <w:iCs/>
          <w:sz w:val="16"/>
          <w:szCs w:val="16"/>
        </w:rPr>
        <w:t>(on education, em</w:t>
      </w:r>
      <w:r w:rsidR="004A2069">
        <w:rPr>
          <w:iCs/>
          <w:sz w:val="16"/>
          <w:szCs w:val="16"/>
        </w:rPr>
        <w:t xml:space="preserve">ergencies, financing, judiciary, </w:t>
      </w:r>
      <w:r w:rsidRPr="001B1F55">
        <w:rPr>
          <w:iCs/>
          <w:sz w:val="16"/>
          <w:szCs w:val="16"/>
        </w:rPr>
        <w:t>rule of law,</w:t>
      </w:r>
      <w:r w:rsidR="00D67B05" w:rsidRPr="001B1F55">
        <w:rPr>
          <w:iCs/>
          <w:sz w:val="16"/>
          <w:szCs w:val="16"/>
        </w:rPr>
        <w:t xml:space="preserve"> crime,</w:t>
      </w:r>
      <w:r w:rsidR="003E55DC">
        <w:rPr>
          <w:iCs/>
          <w:sz w:val="16"/>
          <w:szCs w:val="16"/>
        </w:rPr>
        <w:t xml:space="preserve"> inter-ministerial</w:t>
      </w:r>
      <w:r w:rsidR="003E55DC">
        <w:rPr>
          <w:iCs/>
          <w:sz w:val="16"/>
          <w:szCs w:val="16"/>
        </w:rPr>
        <w:tab/>
      </w:r>
      <w:r w:rsidRPr="001B1F55">
        <w:rPr>
          <w:iCs/>
          <w:sz w:val="16"/>
          <w:szCs w:val="16"/>
        </w:rPr>
        <w:t>collaboration, disaster preparedness, international cooperation, internal displacement, fre</w:t>
      </w:r>
      <w:r w:rsidR="004A2069">
        <w:rPr>
          <w:iCs/>
          <w:sz w:val="16"/>
          <w:szCs w:val="16"/>
        </w:rPr>
        <w:t xml:space="preserve">edom of speech, children, youth, </w:t>
      </w:r>
      <w:r w:rsidRPr="001B1F55">
        <w:rPr>
          <w:iCs/>
          <w:sz w:val="16"/>
          <w:szCs w:val="16"/>
        </w:rPr>
        <w:t xml:space="preserve">gender, </w:t>
      </w:r>
      <w:r w:rsidR="003E55DC">
        <w:rPr>
          <w:iCs/>
          <w:sz w:val="16"/>
          <w:szCs w:val="16"/>
        </w:rPr>
        <w:t>minorities,</w:t>
      </w:r>
      <w:r w:rsidR="003E55DC">
        <w:rPr>
          <w:iCs/>
          <w:sz w:val="16"/>
          <w:szCs w:val="16"/>
        </w:rPr>
        <w:tab/>
      </w:r>
      <w:r w:rsidR="004A2069">
        <w:rPr>
          <w:iCs/>
          <w:sz w:val="16"/>
          <w:szCs w:val="16"/>
        </w:rPr>
        <w:t xml:space="preserve">freedom of assembly, </w:t>
      </w:r>
      <w:r w:rsidRPr="001B1F55">
        <w:rPr>
          <w:iCs/>
          <w:sz w:val="16"/>
          <w:szCs w:val="16"/>
        </w:rPr>
        <w:t>collective bargaining, codes of conduct for military, teachers, so</w:t>
      </w:r>
      <w:r w:rsidR="00A25F31">
        <w:rPr>
          <w:iCs/>
          <w:sz w:val="16"/>
          <w:szCs w:val="16"/>
        </w:rPr>
        <w:t>cial workers</w:t>
      </w:r>
      <w:r w:rsidR="003A2CCB">
        <w:rPr>
          <w:iCs/>
          <w:sz w:val="16"/>
          <w:szCs w:val="16"/>
        </w:rPr>
        <w:t>, etc</w:t>
      </w:r>
      <w:r w:rsidRPr="001B1F55">
        <w:rPr>
          <w:iCs/>
          <w:sz w:val="16"/>
          <w:szCs w:val="16"/>
        </w:rPr>
        <w:t>)</w:t>
      </w:r>
      <w:r w:rsidR="000D488B">
        <w:rPr>
          <w:iCs/>
          <w:sz w:val="16"/>
          <w:szCs w:val="16"/>
        </w:rPr>
        <w:t xml:space="preserve">; </w:t>
      </w:r>
      <w:r w:rsidR="000D488B" w:rsidRPr="001B1F55">
        <w:rPr>
          <w:iCs/>
          <w:sz w:val="16"/>
          <w:szCs w:val="16"/>
        </w:rPr>
        <w:t>criminal law</w:t>
      </w:r>
    </w:p>
    <w:p w:rsidR="00D559D1" w:rsidRDefault="00D559D1" w:rsidP="00AE6D59">
      <w:pPr>
        <w:spacing w:line="240" w:lineRule="auto"/>
        <w:rPr>
          <w:b/>
          <w:iCs/>
          <w:sz w:val="16"/>
          <w:szCs w:val="16"/>
        </w:rPr>
        <w:sectPr w:rsidR="00D559D1" w:rsidSect="003E55DC">
          <w:footerReference w:type="default" r:id="rId8"/>
          <w:pgSz w:w="11906" w:h="16838"/>
          <w:pgMar w:top="720" w:right="720" w:bottom="720" w:left="720" w:header="708" w:footer="708" w:gutter="0"/>
          <w:cols w:space="708"/>
          <w:docGrid w:linePitch="360"/>
        </w:sectPr>
      </w:pPr>
    </w:p>
    <w:p w:rsidR="00F20036" w:rsidRPr="001B1F55" w:rsidRDefault="00F20036" w:rsidP="00AE6D59">
      <w:pPr>
        <w:spacing w:line="240" w:lineRule="auto"/>
        <w:rPr>
          <w:rFonts w:cstheme="minorHAnsi"/>
          <w:iCs/>
          <w:sz w:val="16"/>
          <w:szCs w:val="16"/>
        </w:rPr>
      </w:pPr>
      <w:r w:rsidRPr="001B1F55">
        <w:rPr>
          <w:b/>
          <w:iCs/>
          <w:sz w:val="16"/>
          <w:szCs w:val="16"/>
        </w:rPr>
        <w:lastRenderedPageBreak/>
        <w:t>Regional</w:t>
      </w:r>
      <w:r w:rsidR="000D488B">
        <w:rPr>
          <w:b/>
          <w:iCs/>
          <w:sz w:val="16"/>
          <w:szCs w:val="16"/>
        </w:rPr>
        <w:t>:</w:t>
      </w:r>
      <w:r w:rsidR="000D488B">
        <w:rPr>
          <w:iCs/>
          <w:sz w:val="16"/>
          <w:szCs w:val="16"/>
        </w:rPr>
        <w:t xml:space="preserve"> S</w:t>
      </w:r>
      <w:r w:rsidRPr="001B1F55">
        <w:rPr>
          <w:iCs/>
          <w:sz w:val="16"/>
          <w:szCs w:val="16"/>
        </w:rPr>
        <w:t>everal regional conventions addr</w:t>
      </w:r>
      <w:r w:rsidR="000D488B">
        <w:rPr>
          <w:iCs/>
          <w:sz w:val="16"/>
          <w:szCs w:val="16"/>
        </w:rPr>
        <w:t>ess education:</w:t>
      </w:r>
      <w:r w:rsidRPr="001B1F55">
        <w:rPr>
          <w:iCs/>
          <w:sz w:val="16"/>
          <w:szCs w:val="16"/>
        </w:rPr>
        <w:t xml:space="preserve"> </w:t>
      </w:r>
      <w:r w:rsidR="000D488B">
        <w:rPr>
          <w:iCs/>
          <w:sz w:val="16"/>
          <w:szCs w:val="16"/>
        </w:rPr>
        <w:t>The African Charter on the Rights a</w:t>
      </w:r>
      <w:r w:rsidR="00C32EB8">
        <w:rPr>
          <w:iCs/>
          <w:sz w:val="16"/>
          <w:szCs w:val="16"/>
        </w:rPr>
        <w:t>nd Welfare of the Child (ACRWC);</w:t>
      </w:r>
      <w:r w:rsidRPr="001B1F55">
        <w:rPr>
          <w:iCs/>
          <w:sz w:val="16"/>
          <w:szCs w:val="16"/>
        </w:rPr>
        <w:t xml:space="preserve"> the </w:t>
      </w:r>
      <w:r w:rsidR="000D488B">
        <w:rPr>
          <w:iCs/>
          <w:sz w:val="16"/>
          <w:szCs w:val="16"/>
        </w:rPr>
        <w:t>Inter-America Convention on Human Rights an</w:t>
      </w:r>
      <w:r w:rsidR="00814ED9">
        <w:rPr>
          <w:iCs/>
          <w:sz w:val="16"/>
          <w:szCs w:val="16"/>
        </w:rPr>
        <w:t>d the Protocol of San Salvador;</w:t>
      </w:r>
      <w:r w:rsidRPr="001B1F55">
        <w:rPr>
          <w:iCs/>
          <w:sz w:val="16"/>
          <w:szCs w:val="16"/>
        </w:rPr>
        <w:t xml:space="preserve"> </w:t>
      </w:r>
      <w:r w:rsidR="000D488B">
        <w:rPr>
          <w:iCs/>
          <w:sz w:val="16"/>
          <w:szCs w:val="16"/>
        </w:rPr>
        <w:t>the</w:t>
      </w:r>
      <w:r w:rsidRPr="001B1F55">
        <w:rPr>
          <w:iCs/>
          <w:sz w:val="16"/>
          <w:szCs w:val="16"/>
        </w:rPr>
        <w:t xml:space="preserve"> </w:t>
      </w:r>
      <w:r w:rsidRPr="003E55DC">
        <w:rPr>
          <w:iCs/>
          <w:sz w:val="16"/>
          <w:szCs w:val="16"/>
        </w:rPr>
        <w:t>Europe</w:t>
      </w:r>
      <w:r w:rsidR="000D488B" w:rsidRPr="003E55DC">
        <w:rPr>
          <w:iCs/>
          <w:sz w:val="16"/>
          <w:szCs w:val="16"/>
        </w:rPr>
        <w:t>an Convention on Human Right</w:t>
      </w:r>
      <w:r w:rsidR="00814ED9" w:rsidRPr="003E55DC">
        <w:rPr>
          <w:iCs/>
          <w:sz w:val="16"/>
          <w:szCs w:val="16"/>
        </w:rPr>
        <w:t>s</w:t>
      </w:r>
      <w:r w:rsidR="00C32EB8">
        <w:rPr>
          <w:iCs/>
          <w:sz w:val="16"/>
          <w:szCs w:val="16"/>
        </w:rPr>
        <w:t>; t</w:t>
      </w:r>
      <w:r w:rsidR="001B1F55" w:rsidRPr="001B1F55">
        <w:rPr>
          <w:iCs/>
          <w:sz w:val="16"/>
          <w:szCs w:val="16"/>
        </w:rPr>
        <w:t xml:space="preserve">he </w:t>
      </w:r>
      <w:r w:rsidR="001B1F55" w:rsidRPr="001B1F55">
        <w:rPr>
          <w:rFonts w:cstheme="minorHAnsi"/>
          <w:iCs/>
          <w:sz w:val="16"/>
          <w:szCs w:val="16"/>
          <w:lang w:val="en-US"/>
        </w:rPr>
        <w:t>African Union Convention on the Protection and Assistance of Internally Displaced Persons</w:t>
      </w:r>
      <w:r w:rsidR="000D488B">
        <w:rPr>
          <w:rFonts w:cstheme="minorHAnsi"/>
          <w:iCs/>
          <w:sz w:val="16"/>
          <w:szCs w:val="16"/>
          <w:lang w:val="en-US"/>
        </w:rPr>
        <w:t xml:space="preserve"> in Africa</w:t>
      </w:r>
      <w:r w:rsidR="003A2CCB">
        <w:rPr>
          <w:rFonts w:cstheme="minorHAnsi"/>
          <w:iCs/>
          <w:sz w:val="16"/>
          <w:szCs w:val="16"/>
          <w:lang w:val="en-US"/>
        </w:rPr>
        <w:t>; etc</w:t>
      </w:r>
      <w:r w:rsidR="000D488B">
        <w:rPr>
          <w:rFonts w:cstheme="minorHAnsi"/>
          <w:iCs/>
          <w:sz w:val="16"/>
          <w:szCs w:val="16"/>
          <w:lang w:val="en-US"/>
        </w:rPr>
        <w:t>.</w:t>
      </w:r>
    </w:p>
    <w:p w:rsidR="00D57E58" w:rsidRDefault="001A1612" w:rsidP="00AE6D59">
      <w:pPr>
        <w:spacing w:line="240" w:lineRule="auto"/>
        <w:rPr>
          <w:iCs/>
          <w:sz w:val="16"/>
          <w:szCs w:val="16"/>
        </w:rPr>
      </w:pPr>
      <w:r w:rsidRPr="001B1F55">
        <w:rPr>
          <w:b/>
          <w:iCs/>
          <w:sz w:val="16"/>
          <w:szCs w:val="16"/>
        </w:rPr>
        <w:t>International</w:t>
      </w:r>
      <w:r w:rsidR="000D488B">
        <w:rPr>
          <w:iCs/>
          <w:sz w:val="16"/>
          <w:szCs w:val="16"/>
        </w:rPr>
        <w:t>:</w:t>
      </w:r>
      <w:r w:rsidR="00D57E58" w:rsidRPr="001B1F55">
        <w:rPr>
          <w:iCs/>
          <w:sz w:val="16"/>
          <w:szCs w:val="16"/>
        </w:rPr>
        <w:t xml:space="preserve"> </w:t>
      </w:r>
      <w:r w:rsidR="005948F7">
        <w:rPr>
          <w:iCs/>
          <w:sz w:val="16"/>
          <w:szCs w:val="16"/>
        </w:rPr>
        <w:t>International human rights law (IHRL); International Humanitarian L</w:t>
      </w:r>
      <w:r w:rsidR="005136C2" w:rsidRPr="001B1F55">
        <w:rPr>
          <w:iCs/>
          <w:sz w:val="16"/>
          <w:szCs w:val="16"/>
        </w:rPr>
        <w:t>aw (</w:t>
      </w:r>
      <w:r w:rsidR="005948F7">
        <w:rPr>
          <w:iCs/>
          <w:sz w:val="16"/>
          <w:szCs w:val="16"/>
        </w:rPr>
        <w:t xml:space="preserve">IHL - </w:t>
      </w:r>
      <w:r w:rsidR="005136C2" w:rsidRPr="001B1F55">
        <w:rPr>
          <w:iCs/>
          <w:sz w:val="16"/>
          <w:szCs w:val="16"/>
        </w:rPr>
        <w:t>law of war)</w:t>
      </w:r>
      <w:r w:rsidR="005948F7">
        <w:rPr>
          <w:iCs/>
          <w:sz w:val="16"/>
          <w:szCs w:val="16"/>
        </w:rPr>
        <w:t xml:space="preserve"> and International Criminal Law (ICC); Refugee law and Guiding Principles o</w:t>
      </w:r>
      <w:r w:rsidR="00D55DAB">
        <w:rPr>
          <w:iCs/>
          <w:sz w:val="16"/>
          <w:szCs w:val="16"/>
        </w:rPr>
        <w:t>n IDPs.</w:t>
      </w:r>
      <w:r w:rsidR="003A2CCB">
        <w:rPr>
          <w:iCs/>
          <w:sz w:val="16"/>
          <w:szCs w:val="16"/>
        </w:rPr>
        <w:t xml:space="preserve"> </w:t>
      </w:r>
      <w:r w:rsidR="00D55DAB">
        <w:rPr>
          <w:iCs/>
          <w:sz w:val="16"/>
          <w:szCs w:val="16"/>
        </w:rPr>
        <w:t xml:space="preserve">The </w:t>
      </w:r>
      <w:r w:rsidR="003A2CCB">
        <w:rPr>
          <w:i/>
          <w:iCs/>
          <w:sz w:val="16"/>
          <w:szCs w:val="16"/>
        </w:rPr>
        <w:t xml:space="preserve">UN </w:t>
      </w:r>
      <w:r w:rsidR="00D55DAB" w:rsidRPr="003A2CCB">
        <w:rPr>
          <w:i/>
          <w:iCs/>
          <w:sz w:val="16"/>
          <w:szCs w:val="16"/>
        </w:rPr>
        <w:t xml:space="preserve">Convention </w:t>
      </w:r>
      <w:r w:rsidR="004566D9" w:rsidRPr="003A2CCB">
        <w:rPr>
          <w:i/>
          <w:iCs/>
          <w:sz w:val="16"/>
          <w:szCs w:val="16"/>
        </w:rPr>
        <w:t>on the Rights of the Child</w:t>
      </w:r>
      <w:r w:rsidR="00D55DAB">
        <w:rPr>
          <w:iCs/>
          <w:sz w:val="16"/>
          <w:szCs w:val="16"/>
        </w:rPr>
        <w:t xml:space="preserve"> </w:t>
      </w:r>
      <w:r w:rsidR="004566D9">
        <w:rPr>
          <w:iCs/>
          <w:sz w:val="16"/>
          <w:szCs w:val="16"/>
        </w:rPr>
        <w:t xml:space="preserve">(CRC) </w:t>
      </w:r>
      <w:r w:rsidR="00D55DAB">
        <w:rPr>
          <w:iCs/>
          <w:sz w:val="16"/>
          <w:szCs w:val="16"/>
        </w:rPr>
        <w:t>is central</w:t>
      </w:r>
      <w:r w:rsidR="00756E0A">
        <w:rPr>
          <w:iCs/>
          <w:sz w:val="16"/>
          <w:szCs w:val="16"/>
        </w:rPr>
        <w:t>ly</w:t>
      </w:r>
      <w:r w:rsidR="00D55DAB">
        <w:rPr>
          <w:iCs/>
          <w:sz w:val="16"/>
          <w:szCs w:val="16"/>
        </w:rPr>
        <w:t xml:space="preserve"> </w:t>
      </w:r>
      <w:r w:rsidR="004566D9">
        <w:rPr>
          <w:iCs/>
          <w:sz w:val="16"/>
          <w:szCs w:val="16"/>
        </w:rPr>
        <w:t>placed in thi</w:t>
      </w:r>
      <w:r w:rsidR="004A2069">
        <w:rPr>
          <w:iCs/>
          <w:sz w:val="16"/>
          <w:szCs w:val="16"/>
        </w:rPr>
        <w:t>s</w:t>
      </w:r>
      <w:r w:rsidR="00756E0A">
        <w:rPr>
          <w:iCs/>
          <w:sz w:val="16"/>
          <w:szCs w:val="16"/>
        </w:rPr>
        <w:t xml:space="preserve"> system</w:t>
      </w:r>
      <w:r w:rsidR="00D55DAB">
        <w:rPr>
          <w:iCs/>
          <w:sz w:val="16"/>
          <w:szCs w:val="16"/>
        </w:rPr>
        <w:t xml:space="preserve"> (see below). </w:t>
      </w:r>
    </w:p>
    <w:p w:rsidR="005948F7" w:rsidRDefault="00814ED9" w:rsidP="005948F7">
      <w:pPr>
        <w:rPr>
          <w:rFonts w:cstheme="minorHAnsi"/>
          <w:b/>
          <w:iCs/>
          <w:sz w:val="16"/>
          <w:szCs w:val="16"/>
        </w:rPr>
      </w:pPr>
      <w:r w:rsidRPr="00814ED9">
        <w:rPr>
          <w:b/>
          <w:iCs/>
          <w:noProof/>
          <w:sz w:val="16"/>
          <w:szCs w:val="16"/>
          <w:lang w:eastAsia="en-GB"/>
        </w:rPr>
        <w:lastRenderedPageBreak/>
        <w:drawing>
          <wp:inline distT="0" distB="0" distL="0" distR="0">
            <wp:extent cx="2724150" cy="1623060"/>
            <wp:effectExtent l="361950" t="0" r="19050" b="0"/>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Pr>
          <w:b/>
          <w:iCs/>
          <w:sz w:val="16"/>
          <w:szCs w:val="16"/>
        </w:rPr>
        <w:t xml:space="preserve"> </w:t>
      </w:r>
      <w:r w:rsidR="00D559D1">
        <w:rPr>
          <w:b/>
          <w:iCs/>
          <w:sz w:val="16"/>
          <w:szCs w:val="16"/>
        </w:rPr>
        <w:tab/>
      </w:r>
      <w:r w:rsidRPr="00814ED9">
        <w:rPr>
          <w:b/>
          <w:iCs/>
          <w:noProof/>
          <w:sz w:val="16"/>
          <w:szCs w:val="16"/>
          <w:lang w:eastAsia="en-GB"/>
        </w:rPr>
        <w:drawing>
          <wp:inline distT="0" distB="0" distL="0" distR="0">
            <wp:extent cx="1821180" cy="129540"/>
            <wp:effectExtent l="0" t="0" r="0" b="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r w:rsidR="005948F7">
        <w:rPr>
          <w:rFonts w:cstheme="minorHAnsi"/>
          <w:b/>
          <w:iCs/>
          <w:sz w:val="16"/>
          <w:szCs w:val="16"/>
        </w:rPr>
        <w:t>Figure 1</w:t>
      </w:r>
    </w:p>
    <w:p w:rsidR="005948F7" w:rsidRPr="005948F7" w:rsidRDefault="005948F7" w:rsidP="005948F7">
      <w:pPr>
        <w:rPr>
          <w:b/>
          <w:iCs/>
          <w:sz w:val="16"/>
          <w:szCs w:val="16"/>
        </w:rPr>
        <w:sectPr w:rsidR="005948F7" w:rsidRPr="005948F7" w:rsidSect="00D559D1">
          <w:type w:val="continuous"/>
          <w:pgSz w:w="11906" w:h="16838"/>
          <w:pgMar w:top="1440" w:right="1440" w:bottom="1440" w:left="1440" w:header="708" w:footer="708" w:gutter="0"/>
          <w:cols w:num="2" w:space="708"/>
          <w:docGrid w:linePitch="360"/>
        </w:sectPr>
      </w:pPr>
    </w:p>
    <w:tbl>
      <w:tblPr>
        <w:tblStyle w:val="TableGrid"/>
        <w:tblW w:w="5906" w:type="pct"/>
        <w:tblInd w:w="-743" w:type="dxa"/>
        <w:tblLayout w:type="fixed"/>
        <w:tblLook w:val="04A0"/>
      </w:tblPr>
      <w:tblGrid>
        <w:gridCol w:w="10917"/>
      </w:tblGrid>
      <w:tr w:rsidR="00A25F31" w:rsidRPr="00BF20C2" w:rsidTr="00AE6D59">
        <w:tc>
          <w:tcPr>
            <w:tcW w:w="5000" w:type="pct"/>
            <w:shd w:val="clear" w:color="auto" w:fill="17365D" w:themeFill="text2" w:themeFillShade="BF"/>
          </w:tcPr>
          <w:p w:rsidR="00A25F31" w:rsidRPr="00BF20C2" w:rsidRDefault="00507070" w:rsidP="00AE6D59">
            <w:pPr>
              <w:rPr>
                <w:rFonts w:cstheme="minorHAnsi"/>
                <w:b/>
                <w:iCs/>
                <w:sz w:val="16"/>
                <w:szCs w:val="16"/>
              </w:rPr>
            </w:pPr>
            <w:r w:rsidRPr="00BF20C2">
              <w:rPr>
                <w:rFonts w:cstheme="minorHAnsi"/>
                <w:b/>
                <w:iCs/>
                <w:sz w:val="16"/>
                <w:szCs w:val="16"/>
              </w:rPr>
              <w:lastRenderedPageBreak/>
              <w:t>Table of major international l</w:t>
            </w:r>
            <w:r w:rsidR="00A25F31" w:rsidRPr="00BF20C2">
              <w:rPr>
                <w:rFonts w:cstheme="minorHAnsi"/>
                <w:b/>
                <w:iCs/>
                <w:sz w:val="16"/>
                <w:szCs w:val="16"/>
              </w:rPr>
              <w:t>egal frameworks, the</w:t>
            </w:r>
            <w:r w:rsidRPr="00BF20C2">
              <w:rPr>
                <w:rFonts w:cstheme="minorHAnsi"/>
                <w:b/>
                <w:iCs/>
                <w:sz w:val="16"/>
                <w:szCs w:val="16"/>
              </w:rPr>
              <w:t>ir</w:t>
            </w:r>
            <w:r w:rsidR="00A25F31" w:rsidRPr="00BF20C2">
              <w:rPr>
                <w:rFonts w:cstheme="minorHAnsi"/>
                <w:b/>
                <w:iCs/>
                <w:sz w:val="16"/>
                <w:szCs w:val="16"/>
              </w:rPr>
              <w:t xml:space="preserve"> relevant articles and </w:t>
            </w:r>
            <w:r w:rsidR="00CB7341" w:rsidRPr="00BF20C2">
              <w:rPr>
                <w:rFonts w:cstheme="minorHAnsi"/>
                <w:b/>
                <w:iCs/>
                <w:sz w:val="16"/>
                <w:szCs w:val="16"/>
              </w:rPr>
              <w:t>wording</w:t>
            </w:r>
            <w:r w:rsidR="003E55DC">
              <w:rPr>
                <w:rFonts w:cstheme="minorHAnsi"/>
                <w:b/>
                <w:iCs/>
                <w:sz w:val="16"/>
                <w:szCs w:val="16"/>
              </w:rPr>
              <w:t xml:space="preserve">                                                                               </w:t>
            </w:r>
            <w:r w:rsidR="00BD5165">
              <w:rPr>
                <w:rFonts w:cstheme="minorHAnsi"/>
                <w:b/>
                <w:iCs/>
                <w:sz w:val="16"/>
                <w:szCs w:val="16"/>
              </w:rPr>
              <w:t xml:space="preserve">       </w:t>
            </w:r>
            <w:r w:rsidR="003E55DC">
              <w:rPr>
                <w:rFonts w:cstheme="minorHAnsi"/>
                <w:b/>
                <w:iCs/>
                <w:sz w:val="16"/>
                <w:szCs w:val="16"/>
              </w:rPr>
              <w:t xml:space="preserve">    Lead agency</w:t>
            </w:r>
            <w:r w:rsidR="00BD5165">
              <w:rPr>
                <w:rFonts w:cstheme="minorHAnsi"/>
                <w:b/>
                <w:iCs/>
                <w:sz w:val="16"/>
                <w:szCs w:val="16"/>
              </w:rPr>
              <w:t xml:space="preserve"> or key player</w:t>
            </w:r>
          </w:p>
        </w:tc>
      </w:tr>
      <w:tr w:rsidR="00DE7D7E" w:rsidRPr="00BF20C2" w:rsidTr="00AE6D59">
        <w:tc>
          <w:tcPr>
            <w:tcW w:w="5000" w:type="pct"/>
            <w:shd w:val="clear" w:color="auto" w:fill="95B3D7" w:themeFill="accent1" w:themeFillTint="99"/>
          </w:tcPr>
          <w:p w:rsidR="00DE7D7E" w:rsidRPr="00BF20C2" w:rsidRDefault="00DE7D7E" w:rsidP="00AE6D59">
            <w:pPr>
              <w:rPr>
                <w:rFonts w:cstheme="minorHAnsi"/>
                <w:b/>
                <w:iCs/>
                <w:sz w:val="16"/>
                <w:szCs w:val="16"/>
              </w:rPr>
            </w:pPr>
            <w:r w:rsidRPr="00BF20C2">
              <w:rPr>
                <w:rFonts w:cstheme="minorHAnsi"/>
                <w:b/>
                <w:iCs/>
                <w:sz w:val="16"/>
                <w:szCs w:val="16"/>
              </w:rPr>
              <w:t>UN Convention on the Rights of the Child – CRC,</w:t>
            </w:r>
            <w:r w:rsidR="00231D18">
              <w:rPr>
                <w:rFonts w:cstheme="minorHAnsi"/>
                <w:b/>
                <w:iCs/>
                <w:sz w:val="16"/>
                <w:szCs w:val="16"/>
              </w:rPr>
              <w:t xml:space="preserve"> 1989.</w:t>
            </w:r>
            <w:r w:rsidR="00507070" w:rsidRPr="00BF20C2">
              <w:rPr>
                <w:rFonts w:cstheme="minorHAnsi"/>
                <w:b/>
                <w:iCs/>
                <w:sz w:val="16"/>
                <w:szCs w:val="16"/>
              </w:rPr>
              <w:t xml:space="preserve"> </w:t>
            </w:r>
            <w:r w:rsidR="00633473">
              <w:rPr>
                <w:rFonts w:cstheme="minorHAnsi"/>
                <w:b/>
                <w:iCs/>
                <w:sz w:val="16"/>
                <w:szCs w:val="16"/>
              </w:rPr>
              <w:t xml:space="preserve">   +</w:t>
            </w:r>
            <w:r w:rsidR="007D2414">
              <w:rPr>
                <w:rFonts w:cstheme="minorHAnsi"/>
                <w:b/>
                <w:iCs/>
                <w:sz w:val="16"/>
                <w:szCs w:val="16"/>
              </w:rPr>
              <w:t xml:space="preserve">   Op</w:t>
            </w:r>
            <w:r w:rsidR="001B1F55" w:rsidRPr="00BF20C2">
              <w:rPr>
                <w:rFonts w:cstheme="minorHAnsi"/>
                <w:b/>
                <w:iCs/>
                <w:sz w:val="16"/>
                <w:szCs w:val="16"/>
              </w:rPr>
              <w:t xml:space="preserve"> Protocol </w:t>
            </w:r>
            <w:r w:rsidR="00DF03B4" w:rsidRPr="00BF20C2">
              <w:rPr>
                <w:rFonts w:cstheme="minorHAnsi"/>
                <w:b/>
                <w:iCs/>
                <w:sz w:val="16"/>
                <w:szCs w:val="16"/>
              </w:rPr>
              <w:t>on the involvement of children in armed conflicts</w:t>
            </w:r>
            <w:r w:rsidR="00A83BAA">
              <w:rPr>
                <w:rFonts w:cstheme="minorHAnsi"/>
                <w:b/>
                <w:iCs/>
                <w:sz w:val="16"/>
                <w:szCs w:val="16"/>
              </w:rPr>
              <w:t xml:space="preserve">  </w:t>
            </w:r>
            <w:r w:rsidR="00633473">
              <w:rPr>
                <w:rFonts w:cstheme="minorHAnsi"/>
                <w:b/>
                <w:iCs/>
                <w:sz w:val="16"/>
                <w:szCs w:val="16"/>
              </w:rPr>
              <w:t xml:space="preserve">        </w:t>
            </w:r>
            <w:r w:rsidR="00A83BAA">
              <w:rPr>
                <w:rFonts w:cstheme="minorHAnsi"/>
                <w:b/>
                <w:iCs/>
                <w:sz w:val="16"/>
                <w:szCs w:val="16"/>
              </w:rPr>
              <w:t xml:space="preserve">    </w:t>
            </w:r>
            <w:r w:rsidR="007D2414">
              <w:rPr>
                <w:rFonts w:cstheme="minorHAnsi"/>
                <w:b/>
                <w:iCs/>
                <w:sz w:val="16"/>
                <w:szCs w:val="16"/>
              </w:rPr>
              <w:t xml:space="preserve">   </w:t>
            </w:r>
            <w:r w:rsidR="00A83BAA">
              <w:rPr>
                <w:rFonts w:cstheme="minorHAnsi"/>
                <w:b/>
                <w:iCs/>
                <w:sz w:val="16"/>
                <w:szCs w:val="16"/>
              </w:rPr>
              <w:t xml:space="preserve"> UNICEF, Save</w:t>
            </w:r>
            <w:r w:rsidR="00231D18">
              <w:rPr>
                <w:rFonts w:cstheme="minorHAnsi"/>
                <w:b/>
                <w:iCs/>
                <w:sz w:val="16"/>
                <w:szCs w:val="16"/>
              </w:rPr>
              <w:t xml:space="preserve"> the Children</w:t>
            </w:r>
          </w:p>
        </w:tc>
      </w:tr>
      <w:tr w:rsidR="00F92951" w:rsidRPr="00BF20C2" w:rsidTr="00AE6D59">
        <w:tc>
          <w:tcPr>
            <w:tcW w:w="5000" w:type="pct"/>
          </w:tcPr>
          <w:p w:rsidR="00F92951" w:rsidRPr="004566D9" w:rsidRDefault="00F92951" w:rsidP="00AE6D59">
            <w:pPr>
              <w:pStyle w:val="NormalWeb"/>
              <w:rPr>
                <w:rFonts w:asciiTheme="minorHAnsi" w:hAnsiTheme="minorHAnsi" w:cstheme="minorHAnsi"/>
                <w:sz w:val="16"/>
                <w:szCs w:val="16"/>
              </w:rPr>
            </w:pPr>
            <w:r w:rsidRPr="004566D9">
              <w:rPr>
                <w:rFonts w:asciiTheme="minorHAnsi" w:hAnsiTheme="minorHAnsi" w:cstheme="minorHAnsi"/>
                <w:b/>
                <w:iCs/>
                <w:sz w:val="16"/>
                <w:szCs w:val="16"/>
              </w:rPr>
              <w:t>Art 22</w:t>
            </w:r>
            <w:r w:rsidR="006C4046" w:rsidRPr="004566D9">
              <w:rPr>
                <w:rFonts w:asciiTheme="minorHAnsi" w:hAnsiTheme="minorHAnsi" w:cstheme="minorHAnsi"/>
                <w:b/>
                <w:iCs/>
                <w:sz w:val="16"/>
                <w:szCs w:val="16"/>
              </w:rPr>
              <w:t xml:space="preserve"> - Refugee children:</w:t>
            </w:r>
            <w:r w:rsidR="00530707" w:rsidRPr="004566D9">
              <w:rPr>
                <w:rFonts w:asciiTheme="minorHAnsi" w:hAnsiTheme="minorHAnsi" w:cstheme="minorHAnsi"/>
                <w:b/>
                <w:iCs/>
                <w:sz w:val="16"/>
                <w:szCs w:val="16"/>
              </w:rPr>
              <w:t xml:space="preserve"> </w:t>
            </w:r>
            <w:r w:rsidR="00B87DB4" w:rsidRPr="004566D9">
              <w:rPr>
                <w:rFonts w:asciiTheme="minorHAnsi" w:hAnsiTheme="minorHAnsi" w:cstheme="minorHAnsi"/>
                <w:sz w:val="16"/>
                <w:szCs w:val="16"/>
              </w:rPr>
              <w:t xml:space="preserve">(..) </w:t>
            </w:r>
            <w:r w:rsidR="00530707" w:rsidRPr="004566D9">
              <w:rPr>
                <w:rFonts w:asciiTheme="minorHAnsi" w:hAnsiTheme="minorHAnsi" w:cstheme="minorHAnsi"/>
                <w:sz w:val="16"/>
                <w:szCs w:val="16"/>
              </w:rPr>
              <w:t>a child who is seeking refugee status or who is considered a refugee in accordance with applicable international or domestic law and procedures shall, whether unaccompanied or accompanied by his or her parents or by any other person, receive appropriate protection and humanitarian assistance in the enjoyment of applicable rights set forth in the present Convention and in other international human rights or humanitarian instruments</w:t>
            </w:r>
            <w:r w:rsidR="00B87DB4" w:rsidRPr="004566D9">
              <w:rPr>
                <w:rFonts w:asciiTheme="minorHAnsi" w:hAnsiTheme="minorHAnsi" w:cstheme="minorHAnsi"/>
                <w:sz w:val="16"/>
                <w:szCs w:val="16"/>
              </w:rPr>
              <w:t xml:space="preserve"> (..)</w:t>
            </w:r>
          </w:p>
        </w:tc>
      </w:tr>
      <w:tr w:rsidR="00F92951" w:rsidRPr="00BF20C2" w:rsidTr="00AE6D59">
        <w:tc>
          <w:tcPr>
            <w:tcW w:w="5000" w:type="pct"/>
          </w:tcPr>
          <w:p w:rsidR="00F92951" w:rsidRPr="004566D9" w:rsidRDefault="00F92951" w:rsidP="00AE6D59">
            <w:pPr>
              <w:pStyle w:val="NormalWeb"/>
              <w:rPr>
                <w:rFonts w:asciiTheme="minorHAnsi" w:hAnsiTheme="minorHAnsi" w:cstheme="minorHAnsi"/>
                <w:sz w:val="16"/>
                <w:szCs w:val="16"/>
              </w:rPr>
            </w:pPr>
            <w:r w:rsidRPr="004566D9">
              <w:rPr>
                <w:rFonts w:asciiTheme="minorHAnsi" w:hAnsiTheme="minorHAnsi" w:cstheme="minorHAnsi"/>
                <w:b/>
                <w:iCs/>
                <w:sz w:val="16"/>
                <w:szCs w:val="16"/>
              </w:rPr>
              <w:t>Art 28</w:t>
            </w:r>
            <w:r w:rsidR="006C4046" w:rsidRPr="004566D9">
              <w:rPr>
                <w:rFonts w:asciiTheme="minorHAnsi" w:hAnsiTheme="minorHAnsi" w:cstheme="minorHAnsi"/>
                <w:b/>
                <w:iCs/>
                <w:sz w:val="16"/>
                <w:szCs w:val="16"/>
              </w:rPr>
              <w:t xml:space="preserve"> -</w:t>
            </w:r>
            <w:r w:rsidR="00530707" w:rsidRPr="004566D9">
              <w:rPr>
                <w:rFonts w:asciiTheme="minorHAnsi" w:hAnsiTheme="minorHAnsi" w:cstheme="minorHAnsi"/>
                <w:b/>
                <w:iCs/>
                <w:sz w:val="16"/>
                <w:szCs w:val="16"/>
              </w:rPr>
              <w:t xml:space="preserve"> </w:t>
            </w:r>
            <w:r w:rsidR="006C4046" w:rsidRPr="004566D9">
              <w:rPr>
                <w:rFonts w:asciiTheme="minorHAnsi" w:hAnsiTheme="minorHAnsi" w:cstheme="minorHAnsi"/>
                <w:b/>
                <w:iCs/>
                <w:sz w:val="16"/>
                <w:szCs w:val="16"/>
              </w:rPr>
              <w:t xml:space="preserve">Right to Education: </w:t>
            </w:r>
            <w:r w:rsidR="00530707" w:rsidRPr="00530707">
              <w:rPr>
                <w:rFonts w:asciiTheme="minorHAnsi" w:hAnsiTheme="minorHAnsi" w:cstheme="minorHAnsi"/>
                <w:sz w:val="16"/>
                <w:szCs w:val="16"/>
              </w:rPr>
              <w:t xml:space="preserve">(a) Make primary education compulsory and available free to all; (b) Encourage the development </w:t>
            </w:r>
            <w:r w:rsidR="00EC2143">
              <w:rPr>
                <w:rFonts w:asciiTheme="minorHAnsi" w:hAnsiTheme="minorHAnsi" w:cstheme="minorHAnsi"/>
                <w:sz w:val="16"/>
                <w:szCs w:val="16"/>
              </w:rPr>
              <w:t>(..)</w:t>
            </w:r>
            <w:r w:rsidR="00530707" w:rsidRPr="00530707">
              <w:rPr>
                <w:rFonts w:asciiTheme="minorHAnsi" w:hAnsiTheme="minorHAnsi" w:cstheme="minorHAnsi"/>
                <w:sz w:val="16"/>
                <w:szCs w:val="16"/>
              </w:rPr>
              <w:t xml:space="preserve"> of secondary education (c) Make higher education accessible to all on the basis of capacity </w:t>
            </w:r>
            <w:r w:rsidR="00EC2143">
              <w:rPr>
                <w:rFonts w:asciiTheme="minorHAnsi" w:hAnsiTheme="minorHAnsi" w:cstheme="minorHAnsi"/>
                <w:sz w:val="16"/>
                <w:szCs w:val="16"/>
              </w:rPr>
              <w:t>(..)</w:t>
            </w:r>
            <w:r w:rsidR="00530707" w:rsidRPr="00530707">
              <w:rPr>
                <w:rFonts w:asciiTheme="minorHAnsi" w:hAnsiTheme="minorHAnsi" w:cstheme="minorHAnsi"/>
                <w:sz w:val="16"/>
                <w:szCs w:val="16"/>
              </w:rPr>
              <w:t xml:space="preserve">; (d) Make educational and vocational information and guidance available and accessible to all </w:t>
            </w:r>
            <w:r w:rsidR="00EC2143">
              <w:rPr>
                <w:rFonts w:asciiTheme="minorHAnsi" w:hAnsiTheme="minorHAnsi" w:cstheme="minorHAnsi"/>
                <w:sz w:val="16"/>
                <w:szCs w:val="16"/>
              </w:rPr>
              <w:t>(..)</w:t>
            </w:r>
            <w:r w:rsidR="00530707" w:rsidRPr="00530707">
              <w:rPr>
                <w:rFonts w:asciiTheme="minorHAnsi" w:hAnsiTheme="minorHAnsi" w:cstheme="minorHAnsi"/>
                <w:sz w:val="16"/>
                <w:szCs w:val="16"/>
              </w:rPr>
              <w:t xml:space="preserve">; (e) Take measures to encourage regular attendance at schools and the reduction of drop-out rates. 2. </w:t>
            </w:r>
            <w:r w:rsidR="005B0C93" w:rsidRPr="004566D9">
              <w:rPr>
                <w:rFonts w:asciiTheme="minorHAnsi" w:hAnsiTheme="minorHAnsi" w:cstheme="minorHAnsi"/>
                <w:sz w:val="16"/>
                <w:szCs w:val="16"/>
              </w:rPr>
              <w:t>(</w:t>
            </w:r>
            <w:proofErr w:type="gramStart"/>
            <w:r w:rsidR="005B0C93" w:rsidRPr="004566D9">
              <w:rPr>
                <w:rFonts w:asciiTheme="minorHAnsi" w:hAnsiTheme="minorHAnsi" w:cstheme="minorHAnsi"/>
                <w:sz w:val="16"/>
                <w:szCs w:val="16"/>
              </w:rPr>
              <w:t>..)</w:t>
            </w:r>
            <w:proofErr w:type="gramEnd"/>
            <w:r w:rsidR="00530707" w:rsidRPr="00530707">
              <w:rPr>
                <w:rFonts w:asciiTheme="minorHAnsi" w:hAnsiTheme="minorHAnsi" w:cstheme="minorHAnsi"/>
                <w:sz w:val="16"/>
                <w:szCs w:val="16"/>
              </w:rPr>
              <w:t xml:space="preserve"> take all appropriate measures to ensure that school discipline is administered in a manner consistent with the child's human dignity </w:t>
            </w:r>
            <w:r w:rsidR="00CE3B5B" w:rsidRPr="004566D9">
              <w:rPr>
                <w:rFonts w:asciiTheme="minorHAnsi" w:hAnsiTheme="minorHAnsi" w:cstheme="minorHAnsi"/>
                <w:sz w:val="16"/>
                <w:szCs w:val="16"/>
              </w:rPr>
              <w:t xml:space="preserve">(..) </w:t>
            </w:r>
            <w:r w:rsidR="00530707" w:rsidRPr="00530707">
              <w:rPr>
                <w:rFonts w:asciiTheme="minorHAnsi" w:hAnsiTheme="minorHAnsi" w:cstheme="minorHAnsi"/>
                <w:sz w:val="16"/>
                <w:szCs w:val="16"/>
              </w:rPr>
              <w:t xml:space="preserve">3. </w:t>
            </w:r>
            <w:r w:rsidR="005B0C93" w:rsidRPr="004566D9">
              <w:rPr>
                <w:rFonts w:asciiTheme="minorHAnsi" w:hAnsiTheme="minorHAnsi" w:cstheme="minorHAnsi"/>
                <w:sz w:val="16"/>
                <w:szCs w:val="16"/>
              </w:rPr>
              <w:t>(</w:t>
            </w:r>
            <w:proofErr w:type="gramStart"/>
            <w:r w:rsidR="005B0C93" w:rsidRPr="004566D9">
              <w:rPr>
                <w:rFonts w:asciiTheme="minorHAnsi" w:hAnsiTheme="minorHAnsi" w:cstheme="minorHAnsi"/>
                <w:sz w:val="16"/>
                <w:szCs w:val="16"/>
              </w:rPr>
              <w:t>..)</w:t>
            </w:r>
            <w:proofErr w:type="gramEnd"/>
            <w:r w:rsidR="00530707" w:rsidRPr="00530707">
              <w:rPr>
                <w:rFonts w:asciiTheme="minorHAnsi" w:hAnsiTheme="minorHAnsi" w:cstheme="minorHAnsi"/>
                <w:sz w:val="16"/>
                <w:szCs w:val="16"/>
              </w:rPr>
              <w:t xml:space="preserve"> promote and encourage international cooperation in matters relating to education, in particular with a view to contributing to the elimination of ignorance and illiteracy </w:t>
            </w:r>
            <w:r w:rsidR="00CE3B5B" w:rsidRPr="004566D9">
              <w:rPr>
                <w:rFonts w:asciiTheme="minorHAnsi" w:hAnsiTheme="minorHAnsi" w:cstheme="minorHAnsi"/>
                <w:sz w:val="16"/>
                <w:szCs w:val="16"/>
              </w:rPr>
              <w:t>(..)</w:t>
            </w:r>
            <w:r w:rsidR="00530707" w:rsidRPr="00530707">
              <w:rPr>
                <w:rFonts w:asciiTheme="minorHAnsi" w:hAnsiTheme="minorHAnsi" w:cstheme="minorHAnsi"/>
                <w:sz w:val="16"/>
                <w:szCs w:val="16"/>
              </w:rPr>
              <w:t>. In this regard, particular account shall be taken of the needs of developing countries.</w:t>
            </w:r>
            <w:bookmarkStart w:id="0" w:name="art29"/>
            <w:bookmarkEnd w:id="0"/>
          </w:p>
        </w:tc>
      </w:tr>
      <w:tr w:rsidR="00F92951" w:rsidRPr="00BF20C2" w:rsidTr="00AE6D59">
        <w:tc>
          <w:tcPr>
            <w:tcW w:w="5000" w:type="pct"/>
          </w:tcPr>
          <w:p w:rsidR="00F92951" w:rsidRPr="004566D9" w:rsidRDefault="00F92951" w:rsidP="00AE6D59">
            <w:pPr>
              <w:spacing w:before="100" w:beforeAutospacing="1" w:after="100" w:afterAutospacing="1"/>
              <w:outlineLvl w:val="4"/>
              <w:rPr>
                <w:rFonts w:eastAsia="Times New Roman" w:cstheme="minorHAnsi"/>
                <w:b/>
                <w:bCs/>
                <w:sz w:val="16"/>
                <w:szCs w:val="16"/>
                <w:lang w:eastAsia="en-GB"/>
              </w:rPr>
            </w:pPr>
            <w:r w:rsidRPr="004566D9">
              <w:rPr>
                <w:rFonts w:cstheme="minorHAnsi"/>
                <w:b/>
                <w:iCs/>
                <w:sz w:val="16"/>
                <w:szCs w:val="16"/>
              </w:rPr>
              <w:t>Art 29</w:t>
            </w:r>
            <w:r w:rsidR="006C4046" w:rsidRPr="004566D9">
              <w:rPr>
                <w:rFonts w:cstheme="minorHAnsi"/>
                <w:b/>
                <w:iCs/>
                <w:sz w:val="16"/>
                <w:szCs w:val="16"/>
              </w:rPr>
              <w:t xml:space="preserve"> -</w:t>
            </w:r>
            <w:r w:rsidR="00530707" w:rsidRPr="004566D9">
              <w:rPr>
                <w:rFonts w:cstheme="minorHAnsi"/>
                <w:b/>
                <w:iCs/>
                <w:sz w:val="16"/>
                <w:szCs w:val="16"/>
              </w:rPr>
              <w:t xml:space="preserve"> </w:t>
            </w:r>
            <w:r w:rsidR="006C4046" w:rsidRPr="004566D9">
              <w:rPr>
                <w:rFonts w:cstheme="minorHAnsi"/>
                <w:b/>
                <w:iCs/>
                <w:sz w:val="16"/>
                <w:szCs w:val="16"/>
              </w:rPr>
              <w:t xml:space="preserve">Aims of Education: </w:t>
            </w:r>
            <w:r w:rsidR="00530707" w:rsidRPr="00530707">
              <w:rPr>
                <w:rFonts w:eastAsia="Times New Roman" w:cstheme="minorHAnsi"/>
                <w:sz w:val="16"/>
                <w:szCs w:val="16"/>
                <w:lang w:eastAsia="en-GB"/>
              </w:rPr>
              <w:t>1. States Parties agree that the education of the child shall be directed to: (a) The development of the child's personality, talents and mental and physical abilities to their fullest potential; (b) The development of respect for human rights and fundamental freedoms, and for the principles enshrined in the Charter of the United Nations; (c) The development of respect for the child's parents, his or her own cultural identity</w:t>
            </w:r>
            <w:r w:rsidR="00B87DB4" w:rsidRPr="004566D9">
              <w:rPr>
                <w:rFonts w:eastAsia="Times New Roman" w:cstheme="minorHAnsi"/>
                <w:sz w:val="16"/>
                <w:szCs w:val="16"/>
                <w:lang w:eastAsia="en-GB"/>
              </w:rPr>
              <w:t xml:space="preserve"> (..); </w:t>
            </w:r>
            <w:r w:rsidR="00530707" w:rsidRPr="00530707">
              <w:rPr>
                <w:rFonts w:eastAsia="Times New Roman" w:cstheme="minorHAnsi"/>
                <w:sz w:val="16"/>
                <w:szCs w:val="16"/>
                <w:lang w:eastAsia="en-GB"/>
              </w:rPr>
              <w:t>(d) The preparation of the child for responsible life in a free society</w:t>
            </w:r>
            <w:r w:rsidR="00B87DB4" w:rsidRPr="004566D9">
              <w:rPr>
                <w:rFonts w:eastAsia="Times New Roman" w:cstheme="minorHAnsi"/>
                <w:sz w:val="16"/>
                <w:szCs w:val="16"/>
                <w:lang w:eastAsia="en-GB"/>
              </w:rPr>
              <w:t xml:space="preserve"> (..),</w:t>
            </w:r>
            <w:r w:rsidR="00530707" w:rsidRPr="00530707">
              <w:rPr>
                <w:rFonts w:eastAsia="Times New Roman" w:cstheme="minorHAnsi"/>
                <w:sz w:val="16"/>
                <w:szCs w:val="16"/>
                <w:lang w:eastAsia="en-GB"/>
              </w:rPr>
              <w:t xml:space="preserve"> (e) The development of respect for the natural environment</w:t>
            </w:r>
            <w:r w:rsidR="00B87DB4" w:rsidRPr="004566D9">
              <w:rPr>
                <w:rFonts w:eastAsia="Times New Roman" w:cstheme="minorHAnsi"/>
                <w:sz w:val="16"/>
                <w:szCs w:val="16"/>
                <w:lang w:eastAsia="en-GB"/>
              </w:rPr>
              <w:t xml:space="preserve"> (..)</w:t>
            </w:r>
            <w:r w:rsidR="00530707" w:rsidRPr="00530707">
              <w:rPr>
                <w:rFonts w:eastAsia="Times New Roman" w:cstheme="minorHAnsi"/>
                <w:sz w:val="16"/>
                <w:szCs w:val="16"/>
                <w:lang w:eastAsia="en-GB"/>
              </w:rPr>
              <w:t xml:space="preserve">. </w:t>
            </w:r>
          </w:p>
        </w:tc>
      </w:tr>
      <w:tr w:rsidR="00F92951" w:rsidRPr="00BF20C2" w:rsidTr="00AE6D59">
        <w:tc>
          <w:tcPr>
            <w:tcW w:w="5000" w:type="pct"/>
          </w:tcPr>
          <w:p w:rsidR="00F92951" w:rsidRPr="004566D9" w:rsidRDefault="00F92951" w:rsidP="00AE6D59">
            <w:pPr>
              <w:pStyle w:val="NormalWeb"/>
              <w:rPr>
                <w:rFonts w:asciiTheme="minorHAnsi" w:hAnsiTheme="minorHAnsi" w:cstheme="minorHAnsi"/>
                <w:sz w:val="16"/>
                <w:szCs w:val="16"/>
              </w:rPr>
            </w:pPr>
            <w:r w:rsidRPr="004566D9">
              <w:rPr>
                <w:rFonts w:asciiTheme="minorHAnsi" w:hAnsiTheme="minorHAnsi" w:cstheme="minorHAnsi"/>
                <w:b/>
                <w:iCs/>
                <w:sz w:val="16"/>
                <w:szCs w:val="16"/>
              </w:rPr>
              <w:t>Art 30</w:t>
            </w:r>
            <w:r w:rsidR="006C4046" w:rsidRPr="004566D9">
              <w:rPr>
                <w:rFonts w:asciiTheme="minorHAnsi" w:hAnsiTheme="minorHAnsi" w:cstheme="minorHAnsi"/>
                <w:b/>
                <w:iCs/>
                <w:sz w:val="16"/>
                <w:szCs w:val="16"/>
              </w:rPr>
              <w:t xml:space="preserve"> - Minorities:</w:t>
            </w:r>
            <w:r w:rsidR="00530707" w:rsidRPr="004566D9">
              <w:rPr>
                <w:rFonts w:asciiTheme="minorHAnsi" w:hAnsiTheme="minorHAnsi" w:cstheme="minorHAnsi"/>
                <w:b/>
                <w:iCs/>
                <w:sz w:val="16"/>
                <w:szCs w:val="16"/>
              </w:rPr>
              <w:t xml:space="preserve"> </w:t>
            </w:r>
            <w:r w:rsidR="00530707" w:rsidRPr="004566D9">
              <w:rPr>
                <w:rFonts w:asciiTheme="minorHAnsi" w:hAnsiTheme="minorHAnsi" w:cstheme="minorHAnsi"/>
                <w:sz w:val="16"/>
                <w:szCs w:val="16"/>
              </w:rPr>
              <w:t xml:space="preserve">In those States in which ethnic, religious or linguistic minorities or persons of indigenous origin exist, a child belonging to such a minority or who is indigenous shall not be denied the right, in community with other members of his or her group, to enjoy his or her own culture, to profess and practise his or her own religion, or to use his or her own language. </w:t>
            </w:r>
          </w:p>
        </w:tc>
      </w:tr>
      <w:tr w:rsidR="00F92951" w:rsidRPr="00BF20C2" w:rsidTr="00AE6D59">
        <w:tc>
          <w:tcPr>
            <w:tcW w:w="5000" w:type="pct"/>
          </w:tcPr>
          <w:p w:rsidR="00F92951" w:rsidRPr="004566D9" w:rsidRDefault="00F92951" w:rsidP="00AE6D59">
            <w:pPr>
              <w:pStyle w:val="NormalWeb"/>
              <w:rPr>
                <w:rFonts w:asciiTheme="minorHAnsi" w:hAnsiTheme="minorHAnsi" w:cstheme="minorHAnsi"/>
                <w:sz w:val="16"/>
                <w:szCs w:val="16"/>
              </w:rPr>
            </w:pPr>
            <w:r w:rsidRPr="004566D9">
              <w:rPr>
                <w:rFonts w:asciiTheme="minorHAnsi" w:hAnsiTheme="minorHAnsi" w:cstheme="minorHAnsi"/>
                <w:b/>
                <w:sz w:val="16"/>
                <w:szCs w:val="16"/>
              </w:rPr>
              <w:t>Art 38</w:t>
            </w:r>
            <w:r w:rsidR="006C4046" w:rsidRPr="004566D9">
              <w:rPr>
                <w:rFonts w:asciiTheme="minorHAnsi" w:hAnsiTheme="minorHAnsi" w:cstheme="minorHAnsi"/>
                <w:b/>
                <w:sz w:val="16"/>
                <w:szCs w:val="16"/>
              </w:rPr>
              <w:t xml:space="preserve"> -</w:t>
            </w:r>
            <w:r w:rsidR="00530707" w:rsidRPr="004566D9">
              <w:rPr>
                <w:rFonts w:asciiTheme="minorHAnsi" w:hAnsiTheme="minorHAnsi" w:cstheme="minorHAnsi"/>
                <w:b/>
                <w:sz w:val="16"/>
                <w:szCs w:val="16"/>
              </w:rPr>
              <w:t xml:space="preserve"> </w:t>
            </w:r>
            <w:r w:rsidR="006C4046" w:rsidRPr="004566D9">
              <w:rPr>
                <w:rFonts w:asciiTheme="minorHAnsi" w:hAnsiTheme="minorHAnsi" w:cstheme="minorHAnsi"/>
                <w:b/>
                <w:sz w:val="16"/>
                <w:szCs w:val="16"/>
              </w:rPr>
              <w:t xml:space="preserve">Armed Conflict: </w:t>
            </w:r>
            <w:r w:rsidR="00530707" w:rsidRPr="004566D9">
              <w:rPr>
                <w:rFonts w:asciiTheme="minorHAnsi" w:hAnsiTheme="minorHAnsi" w:cstheme="minorHAnsi"/>
                <w:sz w:val="16"/>
                <w:szCs w:val="16"/>
              </w:rPr>
              <w:t>1. States Parties undertake to respect and to ensure respect for rules of international humanitarian law applicable to them in armed conflicts w</w:t>
            </w:r>
            <w:r w:rsidR="005B0C93" w:rsidRPr="004566D9">
              <w:rPr>
                <w:rFonts w:asciiTheme="minorHAnsi" w:hAnsiTheme="minorHAnsi" w:cstheme="minorHAnsi"/>
                <w:sz w:val="16"/>
                <w:szCs w:val="16"/>
              </w:rPr>
              <w:t>hich are relevant to the child.</w:t>
            </w:r>
            <w:r w:rsidR="00530707" w:rsidRPr="00530707">
              <w:rPr>
                <w:rFonts w:asciiTheme="minorHAnsi" w:hAnsiTheme="minorHAnsi" w:cstheme="minorHAnsi"/>
                <w:sz w:val="16"/>
                <w:szCs w:val="16"/>
              </w:rPr>
              <w:t xml:space="preserve"> </w:t>
            </w:r>
            <w:r w:rsidR="005B0C93" w:rsidRPr="004566D9">
              <w:rPr>
                <w:rFonts w:asciiTheme="minorHAnsi" w:hAnsiTheme="minorHAnsi" w:cstheme="minorHAnsi"/>
                <w:sz w:val="16"/>
                <w:szCs w:val="16"/>
              </w:rPr>
              <w:t>(..)</w:t>
            </w:r>
            <w:r w:rsidR="00530707" w:rsidRPr="00530707">
              <w:rPr>
                <w:rFonts w:asciiTheme="minorHAnsi" w:hAnsiTheme="minorHAnsi" w:cstheme="minorHAnsi"/>
                <w:sz w:val="16"/>
                <w:szCs w:val="16"/>
              </w:rPr>
              <w:t xml:space="preserve"> </w:t>
            </w:r>
            <w:proofErr w:type="gramStart"/>
            <w:r w:rsidR="00530707" w:rsidRPr="00530707">
              <w:rPr>
                <w:rFonts w:asciiTheme="minorHAnsi" w:hAnsiTheme="minorHAnsi" w:cstheme="minorHAnsi"/>
                <w:sz w:val="16"/>
                <w:szCs w:val="16"/>
              </w:rPr>
              <w:t>ensure</w:t>
            </w:r>
            <w:proofErr w:type="gramEnd"/>
            <w:r w:rsidR="00530707" w:rsidRPr="00530707">
              <w:rPr>
                <w:rFonts w:asciiTheme="minorHAnsi" w:hAnsiTheme="minorHAnsi" w:cstheme="minorHAnsi"/>
                <w:sz w:val="16"/>
                <w:szCs w:val="16"/>
              </w:rPr>
              <w:t xml:space="preserve"> that persons who have not attained the age of fifteen years do not take a direct part in hostilities. </w:t>
            </w:r>
            <w:r w:rsidR="005B0C93" w:rsidRPr="004566D9">
              <w:rPr>
                <w:rFonts w:asciiTheme="minorHAnsi" w:hAnsiTheme="minorHAnsi" w:cstheme="minorHAnsi"/>
                <w:sz w:val="16"/>
                <w:szCs w:val="16"/>
              </w:rPr>
              <w:t xml:space="preserve">(..) </w:t>
            </w:r>
            <w:proofErr w:type="gramStart"/>
            <w:r w:rsidR="00530707" w:rsidRPr="00530707">
              <w:rPr>
                <w:rFonts w:asciiTheme="minorHAnsi" w:hAnsiTheme="minorHAnsi" w:cstheme="minorHAnsi"/>
                <w:sz w:val="16"/>
                <w:szCs w:val="16"/>
              </w:rPr>
              <w:t>ensure</w:t>
            </w:r>
            <w:proofErr w:type="gramEnd"/>
            <w:r w:rsidR="00530707" w:rsidRPr="00530707">
              <w:rPr>
                <w:rFonts w:asciiTheme="minorHAnsi" w:hAnsiTheme="minorHAnsi" w:cstheme="minorHAnsi"/>
                <w:sz w:val="16"/>
                <w:szCs w:val="16"/>
              </w:rPr>
              <w:t xml:space="preserve"> protection and care of children who are affected by an armed conflict. </w:t>
            </w:r>
          </w:p>
        </w:tc>
      </w:tr>
      <w:tr w:rsidR="00F92951" w:rsidRPr="00BF20C2" w:rsidTr="00AE6D59">
        <w:tc>
          <w:tcPr>
            <w:tcW w:w="5000" w:type="pct"/>
          </w:tcPr>
          <w:p w:rsidR="00F92951" w:rsidRPr="004566D9" w:rsidRDefault="00BD68D3" w:rsidP="00AE6D59">
            <w:pPr>
              <w:rPr>
                <w:rFonts w:cstheme="minorHAnsi"/>
                <w:b/>
                <w:sz w:val="16"/>
                <w:szCs w:val="16"/>
              </w:rPr>
            </w:pPr>
            <w:r w:rsidRPr="004566D9">
              <w:rPr>
                <w:rFonts w:cstheme="minorHAnsi"/>
                <w:b/>
                <w:iCs/>
                <w:sz w:val="16"/>
                <w:szCs w:val="16"/>
              </w:rPr>
              <w:t>Other articles</w:t>
            </w:r>
            <w:r w:rsidR="003A2CCB">
              <w:rPr>
                <w:rFonts w:cstheme="minorHAnsi"/>
                <w:b/>
                <w:iCs/>
                <w:sz w:val="16"/>
                <w:szCs w:val="16"/>
              </w:rPr>
              <w:t xml:space="preserve"> of note </w:t>
            </w:r>
            <w:r w:rsidRPr="004566D9">
              <w:rPr>
                <w:rFonts w:cstheme="minorHAnsi"/>
                <w:b/>
                <w:iCs/>
                <w:sz w:val="16"/>
                <w:szCs w:val="16"/>
              </w:rPr>
              <w:t xml:space="preserve"> in the CRC</w:t>
            </w:r>
            <w:r w:rsidRPr="004566D9">
              <w:rPr>
                <w:rFonts w:cstheme="minorHAnsi"/>
                <w:iCs/>
                <w:sz w:val="16"/>
                <w:szCs w:val="16"/>
              </w:rPr>
              <w:t xml:space="preserve">: </w:t>
            </w:r>
            <w:r w:rsidR="00F92951" w:rsidRPr="004566D9">
              <w:rPr>
                <w:rFonts w:cstheme="minorHAnsi"/>
                <w:iCs/>
                <w:sz w:val="16"/>
                <w:szCs w:val="16"/>
              </w:rPr>
              <w:t>Non-discrimination (</w:t>
            </w:r>
            <w:r w:rsidR="00F92951" w:rsidRPr="004566D9">
              <w:rPr>
                <w:rFonts w:cstheme="minorHAnsi"/>
                <w:b/>
                <w:iCs/>
                <w:sz w:val="16"/>
                <w:szCs w:val="16"/>
              </w:rPr>
              <w:t>art 2</w:t>
            </w:r>
            <w:r w:rsidR="00F92951" w:rsidRPr="004566D9">
              <w:rPr>
                <w:rFonts w:cstheme="minorHAnsi"/>
                <w:iCs/>
                <w:sz w:val="16"/>
                <w:szCs w:val="16"/>
              </w:rPr>
              <w:t>); Best interest of the child (</w:t>
            </w:r>
            <w:r w:rsidR="00F92951" w:rsidRPr="004566D9">
              <w:rPr>
                <w:rFonts w:cstheme="minorHAnsi"/>
                <w:b/>
                <w:iCs/>
                <w:sz w:val="16"/>
                <w:szCs w:val="16"/>
              </w:rPr>
              <w:t>art 3</w:t>
            </w:r>
            <w:r w:rsidR="00F92951" w:rsidRPr="004566D9">
              <w:rPr>
                <w:rFonts w:cstheme="minorHAnsi"/>
                <w:iCs/>
                <w:sz w:val="16"/>
                <w:szCs w:val="16"/>
              </w:rPr>
              <w:t>); Right to life (in armed conflict  and life-threatening violence) (</w:t>
            </w:r>
            <w:r w:rsidR="00F92951" w:rsidRPr="004566D9">
              <w:rPr>
                <w:rFonts w:cstheme="minorHAnsi"/>
                <w:b/>
                <w:iCs/>
                <w:sz w:val="16"/>
                <w:szCs w:val="16"/>
              </w:rPr>
              <w:t>art 6</w:t>
            </w:r>
            <w:r w:rsidR="00F92951" w:rsidRPr="004566D9">
              <w:rPr>
                <w:rFonts w:cstheme="minorHAnsi"/>
                <w:iCs/>
                <w:sz w:val="16"/>
                <w:szCs w:val="16"/>
              </w:rPr>
              <w:t>); Separation from parents (emergency and conflict) (</w:t>
            </w:r>
            <w:r w:rsidR="00F92951" w:rsidRPr="004566D9">
              <w:rPr>
                <w:rFonts w:cstheme="minorHAnsi"/>
                <w:b/>
                <w:iCs/>
                <w:sz w:val="16"/>
                <w:szCs w:val="16"/>
              </w:rPr>
              <w:t>art 9</w:t>
            </w:r>
            <w:r w:rsidR="00F92951" w:rsidRPr="004566D9">
              <w:rPr>
                <w:rFonts w:cstheme="minorHAnsi"/>
                <w:iCs/>
                <w:sz w:val="16"/>
                <w:szCs w:val="16"/>
              </w:rPr>
              <w:t>); Respect for views of the child and freedom of expression (</w:t>
            </w:r>
            <w:r w:rsidR="00F92951" w:rsidRPr="004566D9">
              <w:rPr>
                <w:rFonts w:cstheme="minorHAnsi"/>
                <w:b/>
                <w:iCs/>
                <w:sz w:val="16"/>
                <w:szCs w:val="16"/>
              </w:rPr>
              <w:t>art 12 + 13</w:t>
            </w:r>
            <w:r w:rsidR="00F92951" w:rsidRPr="004566D9">
              <w:rPr>
                <w:rFonts w:cstheme="minorHAnsi"/>
                <w:iCs/>
                <w:sz w:val="16"/>
                <w:szCs w:val="16"/>
              </w:rPr>
              <w:t>); Protection from violence (</w:t>
            </w:r>
            <w:r w:rsidR="00F92951" w:rsidRPr="004566D9">
              <w:rPr>
                <w:rFonts w:cstheme="minorHAnsi"/>
                <w:b/>
                <w:iCs/>
                <w:sz w:val="16"/>
                <w:szCs w:val="16"/>
              </w:rPr>
              <w:t>art 19</w:t>
            </w:r>
            <w:r w:rsidR="00F92951" w:rsidRPr="004566D9">
              <w:rPr>
                <w:rFonts w:cstheme="minorHAnsi"/>
                <w:iCs/>
                <w:sz w:val="16"/>
                <w:szCs w:val="16"/>
              </w:rPr>
              <w:t>); Abduction, sale and trafficking (</w:t>
            </w:r>
            <w:r w:rsidR="00F92951" w:rsidRPr="004566D9">
              <w:rPr>
                <w:rFonts w:cstheme="minorHAnsi"/>
                <w:b/>
                <w:iCs/>
                <w:sz w:val="16"/>
                <w:szCs w:val="16"/>
              </w:rPr>
              <w:t>art 35</w:t>
            </w:r>
            <w:r w:rsidR="00F92951" w:rsidRPr="004566D9">
              <w:rPr>
                <w:rFonts w:cstheme="minorHAnsi"/>
                <w:iCs/>
                <w:sz w:val="16"/>
                <w:szCs w:val="16"/>
              </w:rPr>
              <w:t>); Rehabilitation of child victims (</w:t>
            </w:r>
            <w:r w:rsidR="00F92951" w:rsidRPr="004566D9">
              <w:rPr>
                <w:rFonts w:cstheme="minorHAnsi"/>
                <w:b/>
                <w:iCs/>
                <w:sz w:val="16"/>
                <w:szCs w:val="16"/>
              </w:rPr>
              <w:t>art 39</w:t>
            </w:r>
            <w:r w:rsidR="00F92951" w:rsidRPr="004566D9">
              <w:rPr>
                <w:rFonts w:cstheme="minorHAnsi"/>
                <w:iCs/>
                <w:sz w:val="16"/>
                <w:szCs w:val="16"/>
              </w:rPr>
              <w:t>)</w:t>
            </w:r>
            <w:r w:rsidR="00B411ED">
              <w:rPr>
                <w:rFonts w:cstheme="minorHAnsi"/>
                <w:iCs/>
                <w:sz w:val="16"/>
                <w:szCs w:val="16"/>
              </w:rPr>
              <w:t xml:space="preserve">; See also </w:t>
            </w:r>
            <w:r w:rsidR="00B411ED" w:rsidRPr="007D2414">
              <w:rPr>
                <w:rFonts w:cstheme="minorHAnsi"/>
                <w:i/>
                <w:iCs/>
                <w:sz w:val="16"/>
                <w:szCs w:val="16"/>
              </w:rPr>
              <w:t xml:space="preserve">Op. Protocol on the involvement of children in armed conflict </w:t>
            </w:r>
            <w:r w:rsidR="00B411ED">
              <w:rPr>
                <w:rFonts w:cstheme="minorHAnsi"/>
                <w:iCs/>
                <w:sz w:val="16"/>
                <w:szCs w:val="16"/>
              </w:rPr>
              <w:t xml:space="preserve">on protection </w:t>
            </w:r>
            <w:r w:rsidR="007D2414">
              <w:rPr>
                <w:rFonts w:cstheme="minorHAnsi"/>
                <w:iCs/>
                <w:sz w:val="16"/>
                <w:szCs w:val="16"/>
              </w:rPr>
              <w:t xml:space="preserve">of children and youth under 18 - </w:t>
            </w:r>
            <w:r w:rsidR="00B411ED">
              <w:rPr>
                <w:rFonts w:cstheme="minorHAnsi"/>
                <w:iCs/>
                <w:sz w:val="16"/>
                <w:szCs w:val="16"/>
              </w:rPr>
              <w:t xml:space="preserve">see </w:t>
            </w:r>
            <w:proofErr w:type="spellStart"/>
            <w:r w:rsidR="00B411ED">
              <w:rPr>
                <w:rFonts w:cstheme="minorHAnsi"/>
                <w:iCs/>
                <w:sz w:val="16"/>
                <w:szCs w:val="16"/>
              </w:rPr>
              <w:t>esp</w:t>
            </w:r>
            <w:proofErr w:type="spellEnd"/>
            <w:r w:rsidR="00B411ED">
              <w:rPr>
                <w:rFonts w:cstheme="minorHAnsi"/>
                <w:iCs/>
                <w:sz w:val="16"/>
                <w:szCs w:val="16"/>
              </w:rPr>
              <w:t xml:space="preserve"> </w:t>
            </w:r>
            <w:r w:rsidR="00B411ED" w:rsidRPr="007D2414">
              <w:rPr>
                <w:rFonts w:cstheme="minorHAnsi"/>
                <w:b/>
                <w:iCs/>
                <w:sz w:val="16"/>
                <w:szCs w:val="16"/>
              </w:rPr>
              <w:t>art 3.5</w:t>
            </w:r>
            <w:r w:rsidR="00B411ED">
              <w:rPr>
                <w:rFonts w:cstheme="minorHAnsi"/>
                <w:iCs/>
                <w:sz w:val="16"/>
                <w:szCs w:val="16"/>
              </w:rPr>
              <w:t xml:space="preserve"> on ‘schools operated by or under the control of armed forces’ in ref to art 28 and art 29</w:t>
            </w:r>
            <w:r w:rsidR="003A2CCB">
              <w:rPr>
                <w:rFonts w:cstheme="minorHAnsi"/>
                <w:iCs/>
                <w:sz w:val="16"/>
                <w:szCs w:val="16"/>
              </w:rPr>
              <w:t xml:space="preserve"> (above)</w:t>
            </w:r>
            <w:r w:rsidR="007D2414">
              <w:rPr>
                <w:rFonts w:cstheme="minorHAnsi"/>
                <w:iCs/>
                <w:sz w:val="16"/>
                <w:szCs w:val="16"/>
              </w:rPr>
              <w:t>.</w:t>
            </w:r>
          </w:p>
        </w:tc>
      </w:tr>
      <w:tr w:rsidR="00DE7D7E" w:rsidRPr="00BF20C2" w:rsidTr="00AE6D59">
        <w:tc>
          <w:tcPr>
            <w:tcW w:w="5000" w:type="pct"/>
            <w:shd w:val="clear" w:color="auto" w:fill="95B3D7" w:themeFill="accent1" w:themeFillTint="99"/>
          </w:tcPr>
          <w:p w:rsidR="00DE7D7E" w:rsidRPr="004566D9" w:rsidRDefault="00DE7D7E" w:rsidP="00AE6D59">
            <w:pPr>
              <w:rPr>
                <w:rFonts w:cstheme="minorHAnsi"/>
                <w:iCs/>
                <w:sz w:val="16"/>
                <w:szCs w:val="16"/>
              </w:rPr>
            </w:pPr>
            <w:r w:rsidRPr="004566D9">
              <w:rPr>
                <w:rFonts w:cstheme="minorHAnsi"/>
                <w:b/>
                <w:iCs/>
                <w:sz w:val="16"/>
                <w:szCs w:val="16"/>
              </w:rPr>
              <w:t>International Covenant on Economic, Social and Cultural Rig</w:t>
            </w:r>
            <w:r w:rsidR="00D61D95" w:rsidRPr="004566D9">
              <w:rPr>
                <w:rFonts w:cstheme="minorHAnsi"/>
                <w:b/>
                <w:iCs/>
                <w:sz w:val="16"/>
                <w:szCs w:val="16"/>
              </w:rPr>
              <w:t>hts – ICESCR, 1966</w:t>
            </w:r>
            <w:r w:rsidR="00A83BAA">
              <w:rPr>
                <w:rFonts w:cstheme="minorHAnsi"/>
                <w:b/>
                <w:iCs/>
                <w:sz w:val="16"/>
                <w:szCs w:val="16"/>
              </w:rPr>
              <w:t xml:space="preserve">                                                                                         </w:t>
            </w:r>
            <w:r w:rsidR="008C0967">
              <w:rPr>
                <w:rFonts w:cstheme="minorHAnsi"/>
                <w:b/>
                <w:iCs/>
                <w:sz w:val="16"/>
                <w:szCs w:val="16"/>
              </w:rPr>
              <w:t xml:space="preserve">            </w:t>
            </w:r>
            <w:r w:rsidR="000E0F27">
              <w:rPr>
                <w:rFonts w:cstheme="minorHAnsi"/>
                <w:b/>
                <w:iCs/>
                <w:sz w:val="16"/>
                <w:szCs w:val="16"/>
              </w:rPr>
              <w:t xml:space="preserve">  </w:t>
            </w:r>
            <w:r w:rsidR="003A2CCB">
              <w:rPr>
                <w:rFonts w:cstheme="minorHAnsi"/>
                <w:b/>
                <w:iCs/>
                <w:sz w:val="16"/>
                <w:szCs w:val="16"/>
              </w:rPr>
              <w:t xml:space="preserve">  </w:t>
            </w:r>
            <w:r w:rsidR="00A83BAA">
              <w:rPr>
                <w:rFonts w:cstheme="minorHAnsi"/>
                <w:b/>
                <w:iCs/>
                <w:sz w:val="16"/>
                <w:szCs w:val="16"/>
              </w:rPr>
              <w:t>OHCHR</w:t>
            </w:r>
            <w:r w:rsidR="003A2CCB">
              <w:rPr>
                <w:rFonts w:cstheme="minorHAnsi"/>
                <w:b/>
                <w:iCs/>
                <w:sz w:val="16"/>
                <w:szCs w:val="16"/>
              </w:rPr>
              <w:t xml:space="preserve"> </w:t>
            </w:r>
            <w:r w:rsidR="008C0967">
              <w:rPr>
                <w:rFonts w:cstheme="minorHAnsi"/>
                <w:b/>
                <w:iCs/>
                <w:sz w:val="16"/>
                <w:szCs w:val="16"/>
              </w:rPr>
              <w:t>and UNESCO</w:t>
            </w:r>
          </w:p>
        </w:tc>
      </w:tr>
      <w:tr w:rsidR="00F92951" w:rsidRPr="00BF20C2" w:rsidTr="00AE6D59">
        <w:tc>
          <w:tcPr>
            <w:tcW w:w="5000" w:type="pct"/>
          </w:tcPr>
          <w:p w:rsidR="00F92951" w:rsidRPr="004566D9" w:rsidRDefault="00F92951" w:rsidP="00AE6D59">
            <w:pPr>
              <w:pStyle w:val="NormalWeb"/>
              <w:rPr>
                <w:rFonts w:asciiTheme="minorHAnsi" w:hAnsiTheme="minorHAnsi" w:cstheme="minorHAnsi"/>
                <w:sz w:val="16"/>
                <w:szCs w:val="16"/>
              </w:rPr>
            </w:pPr>
            <w:r w:rsidRPr="004566D9">
              <w:rPr>
                <w:rFonts w:asciiTheme="minorHAnsi" w:hAnsiTheme="minorHAnsi" w:cstheme="minorHAnsi"/>
                <w:b/>
                <w:iCs/>
                <w:sz w:val="16"/>
                <w:szCs w:val="16"/>
              </w:rPr>
              <w:t>Art 13</w:t>
            </w:r>
            <w:r w:rsidR="006C4046" w:rsidRPr="004566D9">
              <w:rPr>
                <w:rFonts w:asciiTheme="minorHAnsi" w:hAnsiTheme="minorHAnsi" w:cstheme="minorHAnsi"/>
                <w:b/>
                <w:iCs/>
                <w:sz w:val="16"/>
                <w:szCs w:val="16"/>
              </w:rPr>
              <w:t xml:space="preserve"> and art 14 - Right to Education</w:t>
            </w:r>
            <w:r w:rsidR="00530707" w:rsidRPr="004566D9">
              <w:rPr>
                <w:rFonts w:asciiTheme="minorHAnsi" w:hAnsiTheme="minorHAnsi" w:cstheme="minorHAnsi"/>
                <w:sz w:val="16"/>
                <w:szCs w:val="16"/>
              </w:rPr>
              <w:t xml:space="preserve"> </w:t>
            </w:r>
            <w:r w:rsidR="00CE3B5B" w:rsidRPr="004566D9">
              <w:rPr>
                <w:rFonts w:asciiTheme="minorHAnsi" w:hAnsiTheme="minorHAnsi" w:cstheme="minorHAnsi"/>
                <w:sz w:val="16"/>
                <w:szCs w:val="16"/>
              </w:rPr>
              <w:t>– similar to</w:t>
            </w:r>
            <w:r w:rsidR="005B0C93" w:rsidRPr="004566D9">
              <w:rPr>
                <w:rFonts w:asciiTheme="minorHAnsi" w:hAnsiTheme="minorHAnsi" w:cstheme="minorHAnsi"/>
                <w:sz w:val="16"/>
                <w:szCs w:val="16"/>
              </w:rPr>
              <w:t xml:space="preserve"> CRC art 28 and 29</w:t>
            </w:r>
            <w:r w:rsidR="003A2CCB">
              <w:rPr>
                <w:rFonts w:asciiTheme="minorHAnsi" w:hAnsiTheme="minorHAnsi" w:cstheme="minorHAnsi"/>
                <w:sz w:val="16"/>
                <w:szCs w:val="16"/>
              </w:rPr>
              <w:t>, but relevant also beyond children and the age of 18; A</w:t>
            </w:r>
            <w:r w:rsidR="00231D18" w:rsidRPr="003A2CCB">
              <w:rPr>
                <w:rFonts w:asciiTheme="minorHAnsi" w:hAnsiTheme="minorHAnsi" w:cstheme="minorHAnsi"/>
                <w:b/>
                <w:sz w:val="16"/>
                <w:szCs w:val="16"/>
              </w:rPr>
              <w:t xml:space="preserve">rt </w:t>
            </w:r>
            <w:proofErr w:type="gramStart"/>
            <w:r w:rsidR="00231D18" w:rsidRPr="003A2CCB">
              <w:rPr>
                <w:rFonts w:asciiTheme="minorHAnsi" w:hAnsiTheme="minorHAnsi" w:cstheme="minorHAnsi"/>
                <w:b/>
                <w:sz w:val="16"/>
                <w:szCs w:val="16"/>
              </w:rPr>
              <w:t>2</w:t>
            </w:r>
            <w:r w:rsidR="00231D18">
              <w:rPr>
                <w:rFonts w:asciiTheme="minorHAnsi" w:hAnsiTheme="minorHAnsi" w:cstheme="minorHAnsi"/>
                <w:sz w:val="16"/>
                <w:szCs w:val="16"/>
              </w:rPr>
              <w:t xml:space="preserve"> on non-discrimination</w:t>
            </w:r>
            <w:proofErr w:type="gramEnd"/>
            <w:r w:rsidR="003A2CCB">
              <w:rPr>
                <w:rFonts w:asciiTheme="minorHAnsi" w:hAnsiTheme="minorHAnsi" w:cstheme="minorHAnsi"/>
                <w:sz w:val="16"/>
                <w:szCs w:val="16"/>
              </w:rPr>
              <w:t xml:space="preserve"> - </w:t>
            </w:r>
            <w:r w:rsidR="003A2CCB">
              <w:rPr>
                <w:rFonts w:asciiTheme="minorHAnsi" w:hAnsiTheme="minorHAnsi" w:cstheme="minorHAnsi"/>
                <w:i/>
                <w:sz w:val="16"/>
                <w:szCs w:val="16"/>
              </w:rPr>
              <w:t>s</w:t>
            </w:r>
            <w:r w:rsidR="003A2CCB" w:rsidRPr="00BD5165">
              <w:rPr>
                <w:rFonts w:asciiTheme="minorHAnsi" w:hAnsiTheme="minorHAnsi" w:cstheme="minorHAnsi"/>
                <w:i/>
                <w:sz w:val="16"/>
                <w:szCs w:val="16"/>
              </w:rPr>
              <w:t xml:space="preserve">ee also </w:t>
            </w:r>
            <w:r w:rsidR="003A2CCB" w:rsidRPr="00BD5165">
              <w:rPr>
                <w:rFonts w:asciiTheme="minorHAnsi" w:hAnsiTheme="minorHAnsi" w:cstheme="minorHAnsi"/>
                <w:b/>
                <w:i/>
                <w:sz w:val="16"/>
                <w:szCs w:val="16"/>
              </w:rPr>
              <w:t>UNESCO Convention against Discrimination in Education (</w:t>
            </w:r>
            <w:r w:rsidR="003A2CCB">
              <w:rPr>
                <w:rFonts w:asciiTheme="minorHAnsi" w:hAnsiTheme="minorHAnsi" w:cstheme="minorHAnsi"/>
                <w:b/>
                <w:i/>
                <w:sz w:val="16"/>
                <w:szCs w:val="16"/>
              </w:rPr>
              <w:t xml:space="preserve">CADE - </w:t>
            </w:r>
            <w:r w:rsidR="003A2CCB" w:rsidRPr="00BD5165">
              <w:rPr>
                <w:rFonts w:asciiTheme="minorHAnsi" w:hAnsiTheme="minorHAnsi" w:cstheme="minorHAnsi"/>
                <w:b/>
                <w:i/>
                <w:sz w:val="16"/>
                <w:szCs w:val="16"/>
              </w:rPr>
              <w:t xml:space="preserve">1960) </w:t>
            </w:r>
            <w:r w:rsidR="003A2CCB" w:rsidRPr="00BD5165">
              <w:rPr>
                <w:rFonts w:asciiTheme="minorHAnsi" w:hAnsiTheme="minorHAnsi" w:cstheme="minorHAnsi"/>
                <w:i/>
                <w:sz w:val="16"/>
                <w:szCs w:val="16"/>
              </w:rPr>
              <w:t>for fur</w:t>
            </w:r>
            <w:r w:rsidR="003A2CCB">
              <w:rPr>
                <w:rFonts w:asciiTheme="minorHAnsi" w:hAnsiTheme="minorHAnsi" w:cstheme="minorHAnsi"/>
                <w:i/>
                <w:sz w:val="16"/>
                <w:szCs w:val="16"/>
              </w:rPr>
              <w:t>ther elaboration and normative language on this theme.</w:t>
            </w:r>
          </w:p>
        </w:tc>
      </w:tr>
      <w:tr w:rsidR="00DE7D7E" w:rsidRPr="00BF20C2" w:rsidTr="00AE6D59">
        <w:tc>
          <w:tcPr>
            <w:tcW w:w="5000" w:type="pct"/>
            <w:shd w:val="clear" w:color="auto" w:fill="95B3D7" w:themeFill="accent1" w:themeFillTint="99"/>
          </w:tcPr>
          <w:p w:rsidR="00DE7D7E" w:rsidRPr="004566D9" w:rsidRDefault="00DE7D7E" w:rsidP="00AE6D59">
            <w:pPr>
              <w:rPr>
                <w:rFonts w:cstheme="minorHAnsi"/>
                <w:iCs/>
                <w:sz w:val="16"/>
                <w:szCs w:val="16"/>
              </w:rPr>
            </w:pPr>
            <w:r w:rsidRPr="004566D9">
              <w:rPr>
                <w:rFonts w:cstheme="minorHAnsi"/>
                <w:b/>
                <w:iCs/>
                <w:sz w:val="16"/>
                <w:szCs w:val="16"/>
              </w:rPr>
              <w:t>International Covenant on Civil and Political Rights - ICCPR, 1966</w:t>
            </w:r>
            <w:r w:rsidR="00A83BAA">
              <w:rPr>
                <w:rFonts w:cstheme="minorHAnsi"/>
                <w:b/>
                <w:iCs/>
                <w:sz w:val="16"/>
                <w:szCs w:val="16"/>
              </w:rPr>
              <w:t xml:space="preserve">                                                                                                                                                            OHCHR</w:t>
            </w:r>
          </w:p>
        </w:tc>
      </w:tr>
      <w:tr w:rsidR="00F92951" w:rsidRPr="00BF20C2" w:rsidTr="00AE6D59">
        <w:tc>
          <w:tcPr>
            <w:tcW w:w="5000" w:type="pct"/>
            <w:shd w:val="clear" w:color="auto" w:fill="FFFFFF" w:themeFill="background1"/>
          </w:tcPr>
          <w:p w:rsidR="000E0F27" w:rsidRPr="004566D9" w:rsidRDefault="00F92951" w:rsidP="00AE6D59">
            <w:pPr>
              <w:pStyle w:val="NormalWeb"/>
              <w:rPr>
                <w:rFonts w:asciiTheme="minorHAnsi" w:hAnsiTheme="minorHAnsi" w:cstheme="minorHAnsi"/>
                <w:sz w:val="16"/>
                <w:szCs w:val="16"/>
              </w:rPr>
            </w:pPr>
            <w:r w:rsidRPr="004566D9">
              <w:rPr>
                <w:rFonts w:asciiTheme="minorHAnsi" w:hAnsiTheme="minorHAnsi" w:cstheme="minorHAnsi"/>
                <w:b/>
                <w:iCs/>
                <w:sz w:val="16"/>
                <w:szCs w:val="16"/>
              </w:rPr>
              <w:t>Art 2</w:t>
            </w:r>
            <w:r w:rsidR="006C4046" w:rsidRPr="004566D9">
              <w:rPr>
                <w:rFonts w:asciiTheme="minorHAnsi" w:hAnsiTheme="minorHAnsi" w:cstheme="minorHAnsi"/>
                <w:b/>
                <w:iCs/>
                <w:sz w:val="16"/>
                <w:szCs w:val="16"/>
              </w:rPr>
              <w:t>- Non-discrimination:</w:t>
            </w:r>
            <w:r w:rsidR="00530707" w:rsidRPr="004566D9">
              <w:rPr>
                <w:rFonts w:asciiTheme="minorHAnsi" w:hAnsiTheme="minorHAnsi" w:cstheme="minorHAnsi"/>
                <w:b/>
                <w:iCs/>
                <w:sz w:val="16"/>
                <w:szCs w:val="16"/>
              </w:rPr>
              <w:t xml:space="preserve"> </w:t>
            </w:r>
            <w:r w:rsidR="00530707" w:rsidRPr="004566D9">
              <w:rPr>
                <w:rFonts w:asciiTheme="minorHAnsi" w:hAnsiTheme="minorHAnsi" w:cstheme="minorHAnsi"/>
                <w:sz w:val="16"/>
                <w:szCs w:val="16"/>
              </w:rPr>
              <w:t xml:space="preserve">1. Each State Party </w:t>
            </w:r>
            <w:r w:rsidR="00231D18">
              <w:rPr>
                <w:rFonts w:asciiTheme="minorHAnsi" w:hAnsiTheme="minorHAnsi" w:cstheme="minorHAnsi"/>
                <w:sz w:val="16"/>
                <w:szCs w:val="16"/>
              </w:rPr>
              <w:t>[</w:t>
            </w:r>
            <w:proofErr w:type="gramStart"/>
            <w:r w:rsidR="00231D18">
              <w:rPr>
                <w:rFonts w:asciiTheme="minorHAnsi" w:hAnsiTheme="minorHAnsi" w:cstheme="minorHAnsi"/>
                <w:sz w:val="16"/>
                <w:szCs w:val="16"/>
              </w:rPr>
              <w:t>..]</w:t>
            </w:r>
            <w:proofErr w:type="gramEnd"/>
            <w:r w:rsidR="00530707" w:rsidRPr="004566D9">
              <w:rPr>
                <w:rFonts w:asciiTheme="minorHAnsi" w:hAnsiTheme="minorHAnsi" w:cstheme="minorHAnsi"/>
                <w:sz w:val="16"/>
                <w:szCs w:val="16"/>
              </w:rPr>
              <w:t xml:space="preserve"> undertakes to respect and to ensure to all individuals within its territory and subject to its jurisdiction the rights recognized in the present Covenant, without distinction of any kind, such as race, colour, sex, language, religion, political or other opinion, national or social origin, p</w:t>
            </w:r>
            <w:r w:rsidR="000E0F27">
              <w:rPr>
                <w:rFonts w:asciiTheme="minorHAnsi" w:hAnsiTheme="minorHAnsi" w:cstheme="minorHAnsi"/>
                <w:sz w:val="16"/>
                <w:szCs w:val="16"/>
              </w:rPr>
              <w:t xml:space="preserve">roperty, birth or other status. </w:t>
            </w:r>
            <w:r w:rsidR="003A2CCB">
              <w:rPr>
                <w:rFonts w:asciiTheme="minorHAnsi" w:hAnsiTheme="minorHAnsi" w:cstheme="minorHAnsi"/>
                <w:i/>
                <w:sz w:val="16"/>
                <w:szCs w:val="16"/>
              </w:rPr>
              <w:t xml:space="preserve">See also </w:t>
            </w:r>
            <w:r w:rsidR="00AE6D59">
              <w:rPr>
                <w:rFonts w:asciiTheme="minorHAnsi" w:hAnsiTheme="minorHAnsi" w:cstheme="minorHAnsi"/>
                <w:i/>
                <w:sz w:val="16"/>
                <w:szCs w:val="16"/>
              </w:rPr>
              <w:t>similar</w:t>
            </w:r>
            <w:r w:rsidR="003A2CCB">
              <w:rPr>
                <w:rFonts w:asciiTheme="minorHAnsi" w:hAnsiTheme="minorHAnsi" w:cstheme="minorHAnsi"/>
                <w:i/>
                <w:sz w:val="16"/>
                <w:szCs w:val="16"/>
              </w:rPr>
              <w:t xml:space="preserve"> articles in CRC, </w:t>
            </w:r>
            <w:r w:rsidR="003A2CCB" w:rsidRPr="00BD5165">
              <w:rPr>
                <w:rFonts w:asciiTheme="minorHAnsi" w:hAnsiTheme="minorHAnsi" w:cstheme="minorHAnsi"/>
                <w:i/>
                <w:sz w:val="16"/>
                <w:szCs w:val="16"/>
              </w:rPr>
              <w:t>ICESCR</w:t>
            </w:r>
            <w:r w:rsidR="003A2CCB">
              <w:rPr>
                <w:rFonts w:asciiTheme="minorHAnsi" w:hAnsiTheme="minorHAnsi" w:cstheme="minorHAnsi"/>
                <w:i/>
                <w:sz w:val="16"/>
                <w:szCs w:val="16"/>
              </w:rPr>
              <w:t xml:space="preserve"> and the Refugee Convention</w:t>
            </w:r>
            <w:r w:rsidR="003A2CCB" w:rsidRPr="00BD5165">
              <w:rPr>
                <w:rFonts w:asciiTheme="minorHAnsi" w:hAnsiTheme="minorHAnsi" w:cstheme="minorHAnsi"/>
                <w:i/>
                <w:sz w:val="16"/>
                <w:szCs w:val="16"/>
              </w:rPr>
              <w:t>. Discrimination is a good entry point for rights-based advocacy</w:t>
            </w:r>
            <w:r w:rsidR="003A2CCB">
              <w:rPr>
                <w:rFonts w:asciiTheme="minorHAnsi" w:hAnsiTheme="minorHAnsi" w:cstheme="minorHAnsi"/>
                <w:sz w:val="16"/>
                <w:szCs w:val="16"/>
              </w:rPr>
              <w:t>.</w:t>
            </w:r>
          </w:p>
        </w:tc>
      </w:tr>
      <w:tr w:rsidR="00507070" w:rsidRPr="00BF20C2" w:rsidTr="00AE6D59">
        <w:tc>
          <w:tcPr>
            <w:tcW w:w="5000" w:type="pct"/>
            <w:shd w:val="clear" w:color="auto" w:fill="95B3D7" w:themeFill="accent1" w:themeFillTint="99"/>
          </w:tcPr>
          <w:p w:rsidR="00507070" w:rsidRPr="004566D9" w:rsidRDefault="00507070" w:rsidP="00AE6D59">
            <w:pPr>
              <w:rPr>
                <w:rFonts w:cstheme="minorHAnsi"/>
                <w:b/>
                <w:iCs/>
                <w:sz w:val="16"/>
                <w:szCs w:val="16"/>
              </w:rPr>
            </w:pPr>
            <w:r w:rsidRPr="004566D9">
              <w:rPr>
                <w:rFonts w:cstheme="minorHAnsi"/>
                <w:b/>
                <w:iCs/>
                <w:sz w:val="16"/>
                <w:szCs w:val="16"/>
              </w:rPr>
              <w:t>Universal Declaration of Human Rights</w:t>
            </w:r>
            <w:r w:rsidR="00756E0A" w:rsidRPr="004566D9">
              <w:rPr>
                <w:rFonts w:cstheme="minorHAnsi"/>
                <w:b/>
                <w:iCs/>
                <w:sz w:val="16"/>
                <w:szCs w:val="16"/>
              </w:rPr>
              <w:t xml:space="preserve"> – UDHR, 1948. ‘Only’ a declaration, but considered universally binding</w:t>
            </w:r>
            <w:r w:rsidR="00A83BAA">
              <w:rPr>
                <w:rFonts w:cstheme="minorHAnsi"/>
                <w:b/>
                <w:iCs/>
                <w:sz w:val="16"/>
                <w:szCs w:val="16"/>
              </w:rPr>
              <w:t xml:space="preserve">                                                                                  all</w:t>
            </w:r>
          </w:p>
        </w:tc>
      </w:tr>
      <w:tr w:rsidR="00F92951" w:rsidRPr="00BF20C2" w:rsidTr="00AE6D59">
        <w:tc>
          <w:tcPr>
            <w:tcW w:w="5000" w:type="pct"/>
          </w:tcPr>
          <w:p w:rsidR="00F92951" w:rsidRPr="004566D9" w:rsidRDefault="00F92951" w:rsidP="00AE6D59">
            <w:pPr>
              <w:spacing w:before="100" w:beforeAutospacing="1" w:after="100" w:afterAutospacing="1"/>
              <w:rPr>
                <w:rFonts w:eastAsia="Times New Roman" w:cstheme="minorHAnsi"/>
                <w:sz w:val="16"/>
                <w:szCs w:val="16"/>
                <w:lang w:eastAsia="en-GB"/>
              </w:rPr>
            </w:pPr>
            <w:r w:rsidRPr="004566D9">
              <w:rPr>
                <w:rFonts w:cstheme="minorHAnsi"/>
                <w:b/>
                <w:iCs/>
                <w:sz w:val="16"/>
                <w:szCs w:val="16"/>
              </w:rPr>
              <w:t>Art 26</w:t>
            </w:r>
            <w:r w:rsidR="006C4046" w:rsidRPr="004566D9">
              <w:rPr>
                <w:rFonts w:cstheme="minorHAnsi"/>
                <w:b/>
                <w:iCs/>
                <w:sz w:val="16"/>
                <w:szCs w:val="16"/>
              </w:rPr>
              <w:t xml:space="preserve"> - Right to Education –</w:t>
            </w:r>
            <w:r w:rsidR="00CE3B5B" w:rsidRPr="004566D9">
              <w:rPr>
                <w:rFonts w:eastAsia="Times New Roman" w:cstheme="minorHAnsi"/>
                <w:sz w:val="16"/>
                <w:szCs w:val="16"/>
                <w:lang w:eastAsia="en-GB"/>
              </w:rPr>
              <w:t xml:space="preserve"> similar</w:t>
            </w:r>
            <w:r w:rsidR="006C4046" w:rsidRPr="004566D9">
              <w:rPr>
                <w:rFonts w:eastAsia="Times New Roman" w:cstheme="minorHAnsi"/>
                <w:sz w:val="16"/>
                <w:szCs w:val="16"/>
                <w:lang w:eastAsia="en-GB"/>
              </w:rPr>
              <w:t xml:space="preserve"> </w:t>
            </w:r>
            <w:r w:rsidR="00CE3B5B" w:rsidRPr="004566D9">
              <w:rPr>
                <w:rFonts w:eastAsia="Times New Roman" w:cstheme="minorHAnsi"/>
                <w:sz w:val="16"/>
                <w:szCs w:val="16"/>
                <w:lang w:eastAsia="en-GB"/>
              </w:rPr>
              <w:t xml:space="preserve">to </w:t>
            </w:r>
            <w:r w:rsidR="005B0C93" w:rsidRPr="004566D9">
              <w:rPr>
                <w:rFonts w:eastAsia="Times New Roman" w:cstheme="minorHAnsi"/>
                <w:sz w:val="16"/>
                <w:szCs w:val="16"/>
                <w:lang w:eastAsia="en-GB"/>
              </w:rPr>
              <w:t>CRC art.</w:t>
            </w:r>
            <w:r w:rsidR="00CE3B5B" w:rsidRPr="004566D9">
              <w:rPr>
                <w:rFonts w:eastAsia="Times New Roman" w:cstheme="minorHAnsi"/>
                <w:sz w:val="16"/>
                <w:szCs w:val="16"/>
                <w:lang w:eastAsia="en-GB"/>
              </w:rPr>
              <w:t xml:space="preserve"> 28 and</w:t>
            </w:r>
            <w:r w:rsidR="005B0C93" w:rsidRPr="004566D9">
              <w:rPr>
                <w:rFonts w:eastAsia="Times New Roman" w:cstheme="minorHAnsi"/>
                <w:sz w:val="16"/>
                <w:szCs w:val="16"/>
                <w:lang w:eastAsia="en-GB"/>
              </w:rPr>
              <w:t xml:space="preserve"> </w:t>
            </w:r>
            <w:r w:rsidR="00CE3B5B" w:rsidRPr="004566D9">
              <w:rPr>
                <w:rFonts w:eastAsia="Times New Roman" w:cstheme="minorHAnsi"/>
                <w:sz w:val="16"/>
                <w:szCs w:val="16"/>
                <w:lang w:eastAsia="en-GB"/>
              </w:rPr>
              <w:t>2</w:t>
            </w:r>
            <w:r w:rsidR="005B0C93" w:rsidRPr="004566D9">
              <w:rPr>
                <w:rFonts w:eastAsia="Times New Roman" w:cstheme="minorHAnsi"/>
                <w:sz w:val="16"/>
                <w:szCs w:val="16"/>
                <w:lang w:eastAsia="en-GB"/>
              </w:rPr>
              <w:t>9</w:t>
            </w:r>
            <w:r w:rsidR="00CE3B5B" w:rsidRPr="004566D9">
              <w:rPr>
                <w:rFonts w:eastAsia="Times New Roman" w:cstheme="minorHAnsi"/>
                <w:sz w:val="16"/>
                <w:szCs w:val="16"/>
                <w:lang w:eastAsia="en-GB"/>
              </w:rPr>
              <w:t>,</w:t>
            </w:r>
            <w:r w:rsidR="005B0C93" w:rsidRPr="004566D9">
              <w:rPr>
                <w:rFonts w:eastAsia="Times New Roman" w:cstheme="minorHAnsi"/>
                <w:sz w:val="16"/>
                <w:szCs w:val="16"/>
                <w:lang w:eastAsia="en-GB"/>
              </w:rPr>
              <w:t xml:space="preserve"> and ICESCR art. 13</w:t>
            </w:r>
            <w:r w:rsidR="006C4046" w:rsidRPr="004566D9">
              <w:rPr>
                <w:rFonts w:eastAsia="Times New Roman" w:cstheme="minorHAnsi"/>
                <w:sz w:val="16"/>
                <w:szCs w:val="16"/>
                <w:lang w:eastAsia="en-GB"/>
              </w:rPr>
              <w:t xml:space="preserve"> and 14</w:t>
            </w:r>
          </w:p>
        </w:tc>
      </w:tr>
      <w:tr w:rsidR="000E0F27" w:rsidRPr="00BF20C2" w:rsidTr="00AE6D59">
        <w:tc>
          <w:tcPr>
            <w:tcW w:w="5000" w:type="pct"/>
            <w:shd w:val="clear" w:color="auto" w:fill="95B3D7" w:themeFill="accent1" w:themeFillTint="99"/>
          </w:tcPr>
          <w:p w:rsidR="000E0F27" w:rsidRPr="004566D9" w:rsidRDefault="000E0F27" w:rsidP="00AE6D59">
            <w:pPr>
              <w:rPr>
                <w:rFonts w:cstheme="minorHAnsi"/>
                <w:iCs/>
                <w:sz w:val="16"/>
                <w:szCs w:val="16"/>
              </w:rPr>
            </w:pPr>
            <w:r w:rsidRPr="004566D9">
              <w:rPr>
                <w:rFonts w:cstheme="minorHAnsi"/>
                <w:b/>
                <w:iCs/>
                <w:sz w:val="16"/>
                <w:szCs w:val="16"/>
              </w:rPr>
              <w:t>4</w:t>
            </w:r>
            <w:r w:rsidRPr="004566D9">
              <w:rPr>
                <w:rFonts w:cstheme="minorHAnsi"/>
                <w:b/>
                <w:iCs/>
                <w:sz w:val="16"/>
                <w:szCs w:val="16"/>
                <w:vertAlign w:val="superscript"/>
              </w:rPr>
              <w:t>th</w:t>
            </w:r>
            <w:r w:rsidRPr="004566D9">
              <w:rPr>
                <w:rFonts w:cstheme="minorHAnsi"/>
                <w:b/>
                <w:iCs/>
                <w:sz w:val="16"/>
                <w:szCs w:val="16"/>
              </w:rPr>
              <w:t xml:space="preserve"> Geneva Convention relative to the Protection of Civilian Persons in T</w:t>
            </w:r>
            <w:r w:rsidR="00B65FB8">
              <w:rPr>
                <w:rFonts w:cstheme="minorHAnsi"/>
                <w:b/>
                <w:iCs/>
                <w:sz w:val="16"/>
                <w:szCs w:val="16"/>
              </w:rPr>
              <w:t xml:space="preserve">ime of War – GCIV, 1948                                                                                                       </w:t>
            </w:r>
            <w:r>
              <w:rPr>
                <w:rFonts w:cstheme="minorHAnsi"/>
                <w:b/>
                <w:iCs/>
                <w:sz w:val="16"/>
                <w:szCs w:val="16"/>
              </w:rPr>
              <w:t>ICRC</w:t>
            </w:r>
          </w:p>
        </w:tc>
      </w:tr>
      <w:tr w:rsidR="000E0F27" w:rsidRPr="00BF20C2" w:rsidTr="00AE6D59">
        <w:tc>
          <w:tcPr>
            <w:tcW w:w="5000" w:type="pct"/>
          </w:tcPr>
          <w:p w:rsidR="000E0F27" w:rsidRPr="004566D9" w:rsidRDefault="000E0F27" w:rsidP="00AE6D59">
            <w:pPr>
              <w:autoSpaceDE w:val="0"/>
              <w:autoSpaceDN w:val="0"/>
              <w:adjustRightInd w:val="0"/>
              <w:rPr>
                <w:rFonts w:cstheme="minorHAnsi"/>
                <w:sz w:val="16"/>
                <w:szCs w:val="16"/>
              </w:rPr>
            </w:pPr>
            <w:r w:rsidRPr="004566D9">
              <w:rPr>
                <w:rFonts w:cstheme="minorHAnsi"/>
                <w:b/>
                <w:iCs/>
                <w:sz w:val="16"/>
                <w:szCs w:val="16"/>
              </w:rPr>
              <w:t xml:space="preserve">Art 24 - Right to Education: </w:t>
            </w:r>
            <w:r w:rsidRPr="004566D9">
              <w:rPr>
                <w:rFonts w:cstheme="minorHAnsi"/>
                <w:sz w:val="16"/>
                <w:szCs w:val="16"/>
              </w:rPr>
              <w:t>Parties to the conflict shall take necessary measures to ensure that children under 15 (</w:t>
            </w:r>
            <w:proofErr w:type="gramStart"/>
            <w:r w:rsidRPr="004566D9">
              <w:rPr>
                <w:rFonts w:cstheme="minorHAnsi"/>
                <w:sz w:val="16"/>
                <w:szCs w:val="16"/>
              </w:rPr>
              <w:t>..)</w:t>
            </w:r>
            <w:proofErr w:type="gramEnd"/>
            <w:r w:rsidRPr="004566D9">
              <w:rPr>
                <w:rFonts w:cstheme="minorHAnsi"/>
                <w:sz w:val="16"/>
                <w:szCs w:val="16"/>
              </w:rPr>
              <w:t xml:space="preserve"> the exercise of (..) their education are facilitated in all circumstances. Their education shall, as far as possible, be entrusted to persons of a similar cultural tradition.</w:t>
            </w:r>
          </w:p>
        </w:tc>
      </w:tr>
      <w:tr w:rsidR="000E0F27" w:rsidRPr="00BF20C2" w:rsidTr="00AE6D59">
        <w:tc>
          <w:tcPr>
            <w:tcW w:w="5000" w:type="pct"/>
          </w:tcPr>
          <w:p w:rsidR="000E0F27" w:rsidRPr="004566D9" w:rsidRDefault="000E0F27" w:rsidP="00AE6D59">
            <w:pPr>
              <w:autoSpaceDE w:val="0"/>
              <w:autoSpaceDN w:val="0"/>
              <w:adjustRightInd w:val="0"/>
              <w:rPr>
                <w:rFonts w:cstheme="minorHAnsi"/>
                <w:sz w:val="16"/>
                <w:szCs w:val="16"/>
              </w:rPr>
            </w:pPr>
            <w:r w:rsidRPr="004566D9">
              <w:rPr>
                <w:rFonts w:cstheme="minorHAnsi"/>
                <w:b/>
                <w:iCs/>
                <w:sz w:val="16"/>
                <w:szCs w:val="16"/>
              </w:rPr>
              <w:t>Art 50</w:t>
            </w:r>
            <w:r w:rsidRPr="004566D9">
              <w:rPr>
                <w:rFonts w:cstheme="minorHAnsi"/>
                <w:sz w:val="16"/>
                <w:szCs w:val="16"/>
              </w:rPr>
              <w:t xml:space="preserve"> </w:t>
            </w:r>
            <w:r w:rsidRPr="004566D9">
              <w:rPr>
                <w:rFonts w:cstheme="minorHAnsi"/>
                <w:b/>
                <w:iCs/>
                <w:sz w:val="16"/>
                <w:szCs w:val="16"/>
              </w:rPr>
              <w:t xml:space="preserve">- Right to Education: </w:t>
            </w:r>
            <w:r w:rsidRPr="004566D9">
              <w:rPr>
                <w:rFonts w:cstheme="minorHAnsi"/>
                <w:sz w:val="16"/>
                <w:szCs w:val="16"/>
              </w:rPr>
              <w:t>(..) the Occupying Power shall make arrangements for the maintenance and education, if possible by persons of their own nationality, language and religion, of children who are orphaned or separated from their parents</w:t>
            </w:r>
            <w:r w:rsidR="00B65FB8">
              <w:rPr>
                <w:rFonts w:cstheme="minorHAnsi"/>
                <w:sz w:val="16"/>
                <w:szCs w:val="16"/>
              </w:rPr>
              <w:t xml:space="preserve"> [See also </w:t>
            </w:r>
            <w:r w:rsidR="00B65FB8" w:rsidRPr="004566D9">
              <w:rPr>
                <w:rFonts w:cstheme="minorHAnsi"/>
                <w:b/>
                <w:iCs/>
                <w:sz w:val="16"/>
                <w:szCs w:val="16"/>
              </w:rPr>
              <w:t xml:space="preserve">Additional </w:t>
            </w:r>
            <w:r w:rsidR="00B65FB8">
              <w:rPr>
                <w:rFonts w:cstheme="minorHAnsi"/>
                <w:b/>
                <w:iCs/>
                <w:sz w:val="16"/>
                <w:szCs w:val="16"/>
              </w:rPr>
              <w:t xml:space="preserve">Protocol II </w:t>
            </w:r>
            <w:r w:rsidR="00B65FB8" w:rsidRPr="004566D9">
              <w:rPr>
                <w:rFonts w:cstheme="minorHAnsi"/>
                <w:b/>
                <w:iCs/>
                <w:sz w:val="16"/>
                <w:szCs w:val="16"/>
              </w:rPr>
              <w:t>to the GC, 1977</w:t>
            </w:r>
            <w:r w:rsidR="00B65FB8">
              <w:rPr>
                <w:rFonts w:cstheme="minorHAnsi"/>
                <w:b/>
                <w:iCs/>
                <w:sz w:val="16"/>
                <w:szCs w:val="16"/>
              </w:rPr>
              <w:t>, art 3.3</w:t>
            </w:r>
            <w:r w:rsidR="00B65FB8" w:rsidRPr="00B65FB8">
              <w:rPr>
                <w:rFonts w:cstheme="minorHAnsi"/>
                <w:iCs/>
                <w:sz w:val="16"/>
                <w:szCs w:val="16"/>
              </w:rPr>
              <w:t xml:space="preserve"> ]                              </w:t>
            </w:r>
          </w:p>
        </w:tc>
      </w:tr>
      <w:tr w:rsidR="000E0F27" w:rsidRPr="00BF20C2" w:rsidTr="00AE6D59">
        <w:tc>
          <w:tcPr>
            <w:tcW w:w="5000" w:type="pct"/>
            <w:shd w:val="clear" w:color="auto" w:fill="95B3D7" w:themeFill="accent1" w:themeFillTint="99"/>
          </w:tcPr>
          <w:p w:rsidR="000E0F27" w:rsidRPr="004566D9" w:rsidRDefault="000E0F27" w:rsidP="00AE6D59">
            <w:pPr>
              <w:rPr>
                <w:rFonts w:cstheme="minorHAnsi"/>
                <w:iCs/>
                <w:sz w:val="16"/>
                <w:szCs w:val="16"/>
              </w:rPr>
            </w:pPr>
            <w:r>
              <w:rPr>
                <w:rFonts w:cstheme="minorHAnsi"/>
                <w:b/>
                <w:iCs/>
                <w:sz w:val="16"/>
                <w:szCs w:val="16"/>
              </w:rPr>
              <w:t xml:space="preserve">The </w:t>
            </w:r>
            <w:r w:rsidRPr="004566D9">
              <w:rPr>
                <w:rFonts w:cstheme="minorHAnsi"/>
                <w:b/>
                <w:iCs/>
                <w:sz w:val="16"/>
                <w:szCs w:val="16"/>
              </w:rPr>
              <w:t xml:space="preserve">International Criminal Court </w:t>
            </w:r>
            <w:r>
              <w:rPr>
                <w:rFonts w:cstheme="minorHAnsi"/>
                <w:b/>
                <w:iCs/>
                <w:sz w:val="16"/>
                <w:szCs w:val="16"/>
              </w:rPr>
              <w:t>Statute or the Rome Statute –</w:t>
            </w:r>
            <w:r w:rsidRPr="004566D9">
              <w:rPr>
                <w:rFonts w:cstheme="minorHAnsi"/>
                <w:b/>
                <w:iCs/>
                <w:sz w:val="16"/>
                <w:szCs w:val="16"/>
              </w:rPr>
              <w:t xml:space="preserve"> </w:t>
            </w:r>
            <w:r>
              <w:rPr>
                <w:rFonts w:cstheme="minorHAnsi"/>
                <w:b/>
                <w:iCs/>
                <w:sz w:val="16"/>
                <w:szCs w:val="16"/>
              </w:rPr>
              <w:t xml:space="preserve">ICC, </w:t>
            </w:r>
            <w:r w:rsidRPr="004566D9">
              <w:rPr>
                <w:rFonts w:cstheme="minorHAnsi"/>
                <w:b/>
                <w:iCs/>
                <w:sz w:val="16"/>
                <w:szCs w:val="16"/>
              </w:rPr>
              <w:t>1998</w:t>
            </w:r>
            <w:r>
              <w:rPr>
                <w:rFonts w:cstheme="minorHAnsi"/>
                <w:b/>
                <w:iCs/>
                <w:sz w:val="16"/>
                <w:szCs w:val="16"/>
              </w:rPr>
              <w:t xml:space="preserve">                                                                                                                                          ICC itself</w:t>
            </w:r>
          </w:p>
        </w:tc>
      </w:tr>
      <w:tr w:rsidR="000E0F27" w:rsidRPr="00BF20C2" w:rsidTr="00AE6D59">
        <w:tc>
          <w:tcPr>
            <w:tcW w:w="5000" w:type="pct"/>
          </w:tcPr>
          <w:p w:rsidR="000E0F27" w:rsidRPr="004566D9" w:rsidRDefault="000E0F27" w:rsidP="00AE6D59">
            <w:pPr>
              <w:rPr>
                <w:rFonts w:cstheme="minorHAnsi"/>
                <w:b/>
                <w:iCs/>
                <w:sz w:val="16"/>
                <w:szCs w:val="16"/>
              </w:rPr>
            </w:pPr>
            <w:r w:rsidRPr="004566D9">
              <w:rPr>
                <w:rFonts w:cstheme="minorHAnsi"/>
                <w:b/>
                <w:iCs/>
                <w:sz w:val="16"/>
                <w:szCs w:val="16"/>
              </w:rPr>
              <w:t xml:space="preserve">Art 8 </w:t>
            </w:r>
            <w:r w:rsidRPr="004566D9">
              <w:rPr>
                <w:rFonts w:cstheme="minorHAnsi"/>
                <w:iCs/>
                <w:sz w:val="16"/>
                <w:szCs w:val="16"/>
              </w:rPr>
              <w:t xml:space="preserve">[prohibiting] </w:t>
            </w:r>
            <w:r w:rsidRPr="004566D9">
              <w:rPr>
                <w:rFonts w:cstheme="minorHAnsi"/>
                <w:sz w:val="16"/>
                <w:szCs w:val="16"/>
              </w:rPr>
              <w:t xml:space="preserve">intentionally directing attacks against buildings dedicated to religion, education (..) provided they are not military objectives </w:t>
            </w:r>
            <w:r w:rsidRPr="004566D9">
              <w:rPr>
                <w:rFonts w:cstheme="minorHAnsi"/>
                <w:b/>
                <w:sz w:val="16"/>
                <w:szCs w:val="16"/>
              </w:rPr>
              <w:t>(</w:t>
            </w:r>
            <w:r>
              <w:rPr>
                <w:rFonts w:cstheme="minorHAnsi"/>
                <w:b/>
                <w:sz w:val="16"/>
                <w:szCs w:val="16"/>
              </w:rPr>
              <w:t>8)(</w:t>
            </w:r>
            <w:r w:rsidRPr="004566D9">
              <w:rPr>
                <w:rFonts w:cstheme="minorHAnsi"/>
                <w:b/>
                <w:sz w:val="16"/>
                <w:szCs w:val="16"/>
              </w:rPr>
              <w:t>2)(b)(ix</w:t>
            </w:r>
            <w:r w:rsidRPr="004566D9">
              <w:rPr>
                <w:rFonts w:cstheme="minorHAnsi"/>
                <w:sz w:val="16"/>
                <w:szCs w:val="16"/>
              </w:rPr>
              <w:t>);</w:t>
            </w:r>
            <w:r w:rsidRPr="004566D9">
              <w:rPr>
                <w:rFonts w:cstheme="minorHAnsi"/>
                <w:b/>
                <w:iCs/>
                <w:sz w:val="16"/>
                <w:szCs w:val="16"/>
              </w:rPr>
              <w:t xml:space="preserve"> </w:t>
            </w:r>
            <w:r w:rsidRPr="004566D9">
              <w:rPr>
                <w:rFonts w:cstheme="minorHAnsi"/>
                <w:sz w:val="16"/>
                <w:szCs w:val="16"/>
              </w:rPr>
              <w:t xml:space="preserve">conscripting or enlisting children under the age of fifteen years into the national armed forces or using them to participate actively in hostilities </w:t>
            </w:r>
            <w:r w:rsidRPr="004566D9">
              <w:rPr>
                <w:rFonts w:cstheme="minorHAnsi"/>
                <w:b/>
                <w:iCs/>
                <w:sz w:val="16"/>
                <w:szCs w:val="16"/>
              </w:rPr>
              <w:t>(</w:t>
            </w:r>
            <w:r>
              <w:rPr>
                <w:rFonts w:cstheme="minorHAnsi"/>
                <w:b/>
                <w:iCs/>
                <w:sz w:val="16"/>
                <w:szCs w:val="16"/>
              </w:rPr>
              <w:t>8)(</w:t>
            </w:r>
            <w:r w:rsidRPr="004566D9">
              <w:rPr>
                <w:rFonts w:cstheme="minorHAnsi"/>
                <w:b/>
                <w:iCs/>
                <w:sz w:val="16"/>
                <w:szCs w:val="16"/>
              </w:rPr>
              <w:t>2)(b)(xxvi)</w:t>
            </w:r>
          </w:p>
        </w:tc>
      </w:tr>
      <w:tr w:rsidR="000E0F27" w:rsidRPr="00BF20C2" w:rsidTr="00AE6D59">
        <w:tc>
          <w:tcPr>
            <w:tcW w:w="5000" w:type="pct"/>
            <w:shd w:val="clear" w:color="auto" w:fill="95B3D7" w:themeFill="accent1" w:themeFillTint="99"/>
          </w:tcPr>
          <w:p w:rsidR="000E0F27" w:rsidRPr="00EC12E1" w:rsidRDefault="000E0F27" w:rsidP="00AE6D59">
            <w:pPr>
              <w:rPr>
                <w:rFonts w:cstheme="minorHAnsi"/>
                <w:b/>
                <w:iCs/>
                <w:sz w:val="16"/>
                <w:szCs w:val="16"/>
              </w:rPr>
            </w:pPr>
            <w:r w:rsidRPr="00EC12E1">
              <w:rPr>
                <w:rFonts w:cstheme="minorHAnsi"/>
                <w:b/>
                <w:sz w:val="16"/>
                <w:szCs w:val="16"/>
              </w:rPr>
              <w:t>Monitoring and Reporting Mechanism for children affected by armed conflict</w:t>
            </w:r>
            <w:r>
              <w:rPr>
                <w:rFonts w:cstheme="minorHAnsi"/>
                <w:b/>
                <w:sz w:val="16"/>
                <w:szCs w:val="16"/>
              </w:rPr>
              <w:t xml:space="preserve"> – MRM, </w:t>
            </w:r>
            <w:r w:rsidRPr="00EC12E1">
              <w:rPr>
                <w:rFonts w:cstheme="minorHAnsi"/>
                <w:b/>
                <w:sz w:val="16"/>
                <w:szCs w:val="16"/>
              </w:rPr>
              <w:t>2005/</w:t>
            </w:r>
            <w:r>
              <w:rPr>
                <w:rFonts w:cstheme="minorHAnsi"/>
                <w:b/>
                <w:sz w:val="16"/>
                <w:szCs w:val="16"/>
              </w:rPr>
              <w:t>2011                                                                         SG/Security Council</w:t>
            </w:r>
          </w:p>
        </w:tc>
      </w:tr>
      <w:tr w:rsidR="000E0F27" w:rsidRPr="00BF20C2" w:rsidTr="00AE6D59">
        <w:tc>
          <w:tcPr>
            <w:tcW w:w="5000" w:type="pct"/>
          </w:tcPr>
          <w:p w:rsidR="000E0F27" w:rsidRPr="00EC2143" w:rsidRDefault="000E0F27" w:rsidP="00AE6D59">
            <w:pPr>
              <w:rPr>
                <w:rFonts w:cstheme="minorHAnsi"/>
                <w:b/>
                <w:iCs/>
                <w:sz w:val="16"/>
                <w:szCs w:val="16"/>
              </w:rPr>
            </w:pPr>
            <w:r w:rsidRPr="00EC2143">
              <w:rPr>
                <w:rFonts w:cstheme="minorHAnsi"/>
                <w:b/>
                <w:iCs/>
                <w:sz w:val="16"/>
                <w:szCs w:val="16"/>
              </w:rPr>
              <w:t>S/RES/1998 (2011):</w:t>
            </w:r>
            <w:r>
              <w:rPr>
                <w:rFonts w:cstheme="minorHAnsi"/>
                <w:iCs/>
                <w:sz w:val="16"/>
                <w:szCs w:val="16"/>
              </w:rPr>
              <w:t xml:space="preserve"> </w:t>
            </w:r>
            <w:r w:rsidRPr="00EC2143">
              <w:rPr>
                <w:rFonts w:cstheme="minorHAnsi"/>
                <w:iCs/>
                <w:sz w:val="16"/>
                <w:szCs w:val="16"/>
              </w:rPr>
              <w:t>Reporting on</w:t>
            </w:r>
            <w:r w:rsidRPr="00EC2143">
              <w:rPr>
                <w:rFonts w:cstheme="minorHAnsi"/>
                <w:b/>
                <w:iCs/>
                <w:sz w:val="16"/>
                <w:szCs w:val="16"/>
              </w:rPr>
              <w:t xml:space="preserve"> </w:t>
            </w:r>
            <w:r w:rsidRPr="00EC2143">
              <w:rPr>
                <w:sz w:val="16"/>
                <w:szCs w:val="16"/>
              </w:rPr>
              <w:t>violations of international law involving the recruitment of children by parties to armed conflict, as well as sexual violence, rape, abduction, killing, attacks against schools or hospitals and the denial of humanitarian access to children.</w:t>
            </w:r>
          </w:p>
        </w:tc>
      </w:tr>
      <w:tr w:rsidR="000E0F27" w:rsidRPr="00BF20C2" w:rsidTr="00AE6D59">
        <w:tc>
          <w:tcPr>
            <w:tcW w:w="5000" w:type="pct"/>
            <w:shd w:val="clear" w:color="auto" w:fill="95B3D7" w:themeFill="accent1" w:themeFillTint="99"/>
          </w:tcPr>
          <w:p w:rsidR="000E0F27" w:rsidRPr="004566D9" w:rsidRDefault="000E0F27" w:rsidP="00AE6D59">
            <w:pPr>
              <w:rPr>
                <w:rFonts w:cstheme="minorHAnsi"/>
                <w:iCs/>
                <w:sz w:val="16"/>
                <w:szCs w:val="16"/>
              </w:rPr>
            </w:pPr>
            <w:r w:rsidRPr="004566D9">
              <w:rPr>
                <w:rFonts w:cstheme="minorHAnsi"/>
                <w:b/>
                <w:iCs/>
                <w:sz w:val="16"/>
                <w:szCs w:val="16"/>
              </w:rPr>
              <w:t xml:space="preserve">Convention relating to the Status of Refugees – 1951. </w:t>
            </w:r>
            <w:r w:rsidR="00633473">
              <w:rPr>
                <w:rFonts w:cstheme="minorHAnsi"/>
                <w:b/>
                <w:iCs/>
                <w:sz w:val="16"/>
                <w:szCs w:val="16"/>
              </w:rPr>
              <w:t xml:space="preserve">    +    </w:t>
            </w:r>
            <w:r w:rsidRPr="004566D9">
              <w:rPr>
                <w:rFonts w:cstheme="minorHAnsi"/>
                <w:b/>
                <w:iCs/>
                <w:sz w:val="16"/>
                <w:szCs w:val="16"/>
              </w:rPr>
              <w:t xml:space="preserve">Additional Protocol </w:t>
            </w:r>
            <w:r>
              <w:rPr>
                <w:rFonts w:cstheme="minorHAnsi"/>
                <w:b/>
                <w:iCs/>
                <w:sz w:val="16"/>
                <w:szCs w:val="16"/>
              </w:rPr>
              <w:t>–</w:t>
            </w:r>
            <w:r w:rsidRPr="004566D9">
              <w:rPr>
                <w:rFonts w:cstheme="minorHAnsi"/>
                <w:b/>
                <w:iCs/>
                <w:sz w:val="16"/>
                <w:szCs w:val="16"/>
              </w:rPr>
              <w:t xml:space="preserve"> 1967</w:t>
            </w:r>
            <w:r w:rsidR="00633473">
              <w:rPr>
                <w:rFonts w:cstheme="minorHAnsi"/>
                <w:b/>
                <w:iCs/>
                <w:sz w:val="16"/>
                <w:szCs w:val="16"/>
              </w:rPr>
              <w:t xml:space="preserve">                   </w:t>
            </w:r>
            <w:r>
              <w:rPr>
                <w:rFonts w:cstheme="minorHAnsi"/>
                <w:b/>
                <w:iCs/>
                <w:sz w:val="16"/>
                <w:szCs w:val="16"/>
              </w:rPr>
              <w:t xml:space="preserve">                                                                                                 UNHCR</w:t>
            </w:r>
          </w:p>
        </w:tc>
      </w:tr>
      <w:tr w:rsidR="000E0F27" w:rsidRPr="00BF20C2" w:rsidTr="00AE6D59">
        <w:tc>
          <w:tcPr>
            <w:tcW w:w="5000" w:type="pct"/>
          </w:tcPr>
          <w:p w:rsidR="000E0F27" w:rsidRPr="004566D9" w:rsidRDefault="000E0F27" w:rsidP="00AE6D59">
            <w:pPr>
              <w:autoSpaceDE w:val="0"/>
              <w:autoSpaceDN w:val="0"/>
              <w:adjustRightInd w:val="0"/>
              <w:rPr>
                <w:rFonts w:cstheme="minorHAnsi"/>
                <w:sz w:val="16"/>
                <w:szCs w:val="16"/>
              </w:rPr>
            </w:pPr>
            <w:r w:rsidRPr="004566D9">
              <w:rPr>
                <w:rFonts w:cstheme="minorHAnsi"/>
                <w:b/>
                <w:iCs/>
                <w:sz w:val="16"/>
                <w:szCs w:val="16"/>
              </w:rPr>
              <w:t>Art 22</w:t>
            </w:r>
            <w:r w:rsidRPr="004566D9">
              <w:rPr>
                <w:rFonts w:cstheme="minorHAnsi"/>
                <w:sz w:val="16"/>
                <w:szCs w:val="16"/>
              </w:rPr>
              <w:t xml:space="preserve"> 1. States shall accord to refugees the same treatment as is accorded to nationals with respect to elementary education. 2. States shall accord to refugees treatment as favourable as possible, and, in any event, not less favourable than that accorded to aliens generally in the same circumstances, with respect to education other than elementary education and, in particular, as regards access to studies, the recognition of foreign school certificates, diplomas and degrees, the remission of fees and charges and the award of scholarships.</w:t>
            </w:r>
            <w:r w:rsidR="00BD5165">
              <w:rPr>
                <w:rFonts w:cstheme="minorHAnsi"/>
                <w:sz w:val="16"/>
                <w:szCs w:val="16"/>
              </w:rPr>
              <w:t xml:space="preserve"> See also Art 3</w:t>
            </w:r>
            <w:r w:rsidR="00231D18">
              <w:rPr>
                <w:rFonts w:cstheme="minorHAnsi"/>
                <w:sz w:val="16"/>
                <w:szCs w:val="16"/>
              </w:rPr>
              <w:t xml:space="preserve"> on non-discrimination</w:t>
            </w:r>
          </w:p>
        </w:tc>
      </w:tr>
      <w:tr w:rsidR="000E0F27" w:rsidRPr="00BF20C2" w:rsidTr="00AE6D59">
        <w:tc>
          <w:tcPr>
            <w:tcW w:w="5000" w:type="pct"/>
            <w:shd w:val="clear" w:color="auto" w:fill="95B3D7" w:themeFill="accent1" w:themeFillTint="99"/>
          </w:tcPr>
          <w:p w:rsidR="000E0F27" w:rsidRPr="004566D9" w:rsidRDefault="000E0F27" w:rsidP="00AE6D59">
            <w:pPr>
              <w:rPr>
                <w:rFonts w:cstheme="minorHAnsi"/>
                <w:iCs/>
                <w:sz w:val="16"/>
                <w:szCs w:val="16"/>
              </w:rPr>
            </w:pPr>
            <w:r w:rsidRPr="004566D9">
              <w:rPr>
                <w:rFonts w:cstheme="minorHAnsi"/>
                <w:b/>
                <w:iCs/>
                <w:sz w:val="16"/>
                <w:szCs w:val="16"/>
              </w:rPr>
              <w:t xml:space="preserve">Guiding Principles on Internal Displacement </w:t>
            </w:r>
            <w:r>
              <w:rPr>
                <w:rFonts w:cstheme="minorHAnsi"/>
                <w:b/>
                <w:iCs/>
                <w:sz w:val="16"/>
                <w:szCs w:val="16"/>
              </w:rPr>
              <w:t>–</w:t>
            </w:r>
            <w:r w:rsidRPr="004566D9">
              <w:rPr>
                <w:rFonts w:cstheme="minorHAnsi"/>
                <w:b/>
                <w:iCs/>
                <w:sz w:val="16"/>
                <w:szCs w:val="16"/>
              </w:rPr>
              <w:t xml:space="preserve"> </w:t>
            </w:r>
            <w:r>
              <w:rPr>
                <w:rFonts w:cstheme="minorHAnsi"/>
                <w:b/>
                <w:iCs/>
                <w:sz w:val="16"/>
                <w:szCs w:val="16"/>
              </w:rPr>
              <w:t>IDP, 1998 (non-binding)                                                                                                                                                           all</w:t>
            </w:r>
          </w:p>
        </w:tc>
      </w:tr>
      <w:tr w:rsidR="000E0F27" w:rsidRPr="00BF20C2" w:rsidTr="00AE6D59">
        <w:tc>
          <w:tcPr>
            <w:tcW w:w="5000" w:type="pct"/>
          </w:tcPr>
          <w:p w:rsidR="000E0F27" w:rsidRPr="004566D9" w:rsidRDefault="000E0F27" w:rsidP="00AE6D59">
            <w:pPr>
              <w:rPr>
                <w:rFonts w:cstheme="minorHAnsi"/>
                <w:b/>
                <w:iCs/>
                <w:sz w:val="16"/>
                <w:szCs w:val="16"/>
              </w:rPr>
            </w:pPr>
            <w:r w:rsidRPr="004566D9">
              <w:rPr>
                <w:rFonts w:cstheme="minorHAnsi"/>
                <w:b/>
                <w:iCs/>
                <w:sz w:val="16"/>
                <w:szCs w:val="16"/>
              </w:rPr>
              <w:t>Principle 23 (</w:t>
            </w:r>
            <w:proofErr w:type="gramStart"/>
            <w:r w:rsidRPr="004566D9">
              <w:rPr>
                <w:rFonts w:cstheme="minorHAnsi"/>
                <w:b/>
                <w:iCs/>
                <w:sz w:val="16"/>
                <w:szCs w:val="16"/>
              </w:rPr>
              <w:t>..)</w:t>
            </w:r>
            <w:proofErr w:type="gramEnd"/>
            <w:r w:rsidRPr="004566D9">
              <w:rPr>
                <w:rFonts w:cstheme="minorHAnsi"/>
                <w:b/>
                <w:iCs/>
                <w:sz w:val="16"/>
                <w:szCs w:val="16"/>
              </w:rPr>
              <w:t xml:space="preserve"> </w:t>
            </w:r>
            <w:r w:rsidRPr="004566D9">
              <w:rPr>
                <w:rFonts w:cstheme="minorHAnsi"/>
                <w:sz w:val="16"/>
                <w:szCs w:val="16"/>
              </w:rPr>
              <w:t>Education and training facilities shall be made available to internally displaced persons, in particular adolescents and women, whether or not living in camps, as soon as conditions permit.</w:t>
            </w:r>
          </w:p>
        </w:tc>
      </w:tr>
    </w:tbl>
    <w:p w:rsidR="00B7129D" w:rsidRPr="00A86381" w:rsidRDefault="00B7129D">
      <w:pPr>
        <w:rPr>
          <w:b/>
          <w:iCs/>
          <w:sz w:val="24"/>
          <w:szCs w:val="24"/>
        </w:rPr>
      </w:pPr>
      <w:r w:rsidRPr="00A86381">
        <w:rPr>
          <w:b/>
          <w:bCs/>
          <w:i/>
          <w:iCs/>
          <w:sz w:val="24"/>
          <w:szCs w:val="24"/>
        </w:rPr>
        <w:lastRenderedPageBreak/>
        <w:t>The CRC</w:t>
      </w:r>
    </w:p>
    <w:p w:rsidR="00955AC9" w:rsidRDefault="0026374F" w:rsidP="00955AC9">
      <w:pPr>
        <w:rPr>
          <w:b/>
          <w:iCs/>
          <w:sz w:val="16"/>
          <w:szCs w:val="16"/>
        </w:rPr>
      </w:pPr>
      <w:r w:rsidRPr="0026374F">
        <w:rPr>
          <w:b/>
          <w:bCs/>
          <w:iCs/>
          <w:sz w:val="16"/>
          <w:szCs w:val="16"/>
        </w:rPr>
        <w:t>E</w:t>
      </w:r>
      <w:r w:rsidR="00D559D1" w:rsidRPr="0026374F">
        <w:rPr>
          <w:b/>
          <w:bCs/>
          <w:iCs/>
          <w:sz w:val="16"/>
          <w:szCs w:val="16"/>
        </w:rPr>
        <w:t>xemplary due to its wide range of articles bridging different areas of international law applicable for different types and phases of emergencies:</w:t>
      </w:r>
      <w:r w:rsidR="00B7129D" w:rsidRPr="00B7129D">
        <w:rPr>
          <w:b/>
          <w:iCs/>
          <w:noProof/>
          <w:sz w:val="16"/>
          <w:szCs w:val="16"/>
          <w:lang w:eastAsia="en-GB"/>
        </w:rPr>
        <w:t xml:space="preserve"> </w:t>
      </w:r>
      <w:r w:rsidR="00B7129D" w:rsidRPr="00B7129D">
        <w:rPr>
          <w:b/>
          <w:bCs/>
          <w:iCs/>
          <w:noProof/>
          <w:lang w:eastAsia="en-GB"/>
        </w:rPr>
        <w:drawing>
          <wp:inline distT="0" distB="0" distL="0" distR="0">
            <wp:extent cx="5498753" cy="3246120"/>
            <wp:effectExtent l="19050" t="0" r="6697" b="0"/>
            <wp:docPr id="19" name="Picture 5" descr="C:\Users\Peter\Desktop\Pictur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eter\Desktop\Picture6.png"/>
                    <pic:cNvPicPr>
                      <a:picLocks noChangeAspect="1" noChangeArrowheads="1"/>
                    </pic:cNvPicPr>
                  </pic:nvPicPr>
                  <pic:blipFill>
                    <a:blip r:embed="rId19" cstate="print"/>
                    <a:srcRect/>
                    <a:stretch>
                      <a:fillRect/>
                    </a:stretch>
                  </pic:blipFill>
                  <pic:spPr bwMode="auto">
                    <a:xfrm>
                      <a:off x="0" y="0"/>
                      <a:ext cx="5498753" cy="3246120"/>
                    </a:xfrm>
                    <a:prstGeom prst="rect">
                      <a:avLst/>
                    </a:prstGeom>
                    <a:noFill/>
                    <a:ln w="9525">
                      <a:noFill/>
                      <a:miter lim="800000"/>
                      <a:headEnd/>
                      <a:tailEnd/>
                    </a:ln>
                  </pic:spPr>
                </pic:pic>
              </a:graphicData>
            </a:graphic>
          </wp:inline>
        </w:drawing>
      </w:r>
      <w:r w:rsidR="00F903DB" w:rsidRPr="00F903DB">
        <w:rPr>
          <w:b/>
          <w:iCs/>
          <w:noProof/>
          <w:sz w:val="16"/>
          <w:szCs w:val="16"/>
          <w:lang w:eastAsia="en-GB"/>
        </w:rPr>
        <w:t xml:space="preserve"> </w:t>
      </w:r>
      <w:r w:rsidR="00295134" w:rsidRPr="00295134">
        <w:rPr>
          <w:b/>
          <w:iCs/>
          <w:sz w:val="16"/>
          <w:szCs w:val="16"/>
        </w:rPr>
        <w:t xml:space="preserve"> </w:t>
      </w:r>
    </w:p>
    <w:p w:rsidR="00295134" w:rsidRPr="00955AC9" w:rsidRDefault="00D559D1" w:rsidP="00955AC9">
      <w:pPr>
        <w:jc w:val="right"/>
        <w:rPr>
          <w:b/>
          <w:iCs/>
        </w:rPr>
      </w:pPr>
      <w:r>
        <w:rPr>
          <w:b/>
          <w:iCs/>
          <w:sz w:val="16"/>
          <w:szCs w:val="16"/>
        </w:rPr>
        <w:t>Figure 2</w:t>
      </w:r>
    </w:p>
    <w:p w:rsidR="00D559D1" w:rsidRPr="00A86381" w:rsidRDefault="0026374F">
      <w:pPr>
        <w:rPr>
          <w:b/>
          <w:bCs/>
          <w:i/>
          <w:iCs/>
          <w:sz w:val="24"/>
          <w:szCs w:val="24"/>
        </w:rPr>
      </w:pPr>
      <w:r w:rsidRPr="00A86381">
        <w:rPr>
          <w:b/>
          <w:bCs/>
          <w:i/>
          <w:iCs/>
          <w:sz w:val="24"/>
          <w:szCs w:val="24"/>
        </w:rPr>
        <w:t>Types of emergencies</w:t>
      </w:r>
    </w:p>
    <w:p w:rsidR="00353E52" w:rsidRPr="0026374F" w:rsidRDefault="0026374F">
      <w:pPr>
        <w:rPr>
          <w:b/>
          <w:bCs/>
          <w:iCs/>
          <w:sz w:val="16"/>
          <w:szCs w:val="16"/>
        </w:rPr>
      </w:pPr>
      <w:r w:rsidRPr="0026374F">
        <w:rPr>
          <w:b/>
          <w:bCs/>
          <w:iCs/>
          <w:sz w:val="16"/>
          <w:szCs w:val="16"/>
        </w:rPr>
        <w:t>Usually the talk is of at least 3 types: ‘natural’ disasters, armed conflict and complex emergencies. However, f</w:t>
      </w:r>
      <w:r w:rsidR="00353E52" w:rsidRPr="0026374F">
        <w:rPr>
          <w:b/>
          <w:bCs/>
          <w:iCs/>
          <w:sz w:val="16"/>
          <w:szCs w:val="16"/>
        </w:rPr>
        <w:t xml:space="preserve">rom a </w:t>
      </w:r>
      <w:r w:rsidR="00B7129D" w:rsidRPr="0026374F">
        <w:rPr>
          <w:b/>
          <w:bCs/>
          <w:iCs/>
          <w:sz w:val="16"/>
          <w:szCs w:val="16"/>
        </w:rPr>
        <w:t>legal</w:t>
      </w:r>
      <w:r w:rsidR="00353E52" w:rsidRPr="0026374F">
        <w:rPr>
          <w:b/>
          <w:bCs/>
          <w:iCs/>
          <w:sz w:val="16"/>
          <w:szCs w:val="16"/>
        </w:rPr>
        <w:t xml:space="preserve"> perspective 2 broad</w:t>
      </w:r>
      <w:r w:rsidRPr="0026374F">
        <w:rPr>
          <w:b/>
          <w:bCs/>
          <w:iCs/>
          <w:sz w:val="16"/>
          <w:szCs w:val="16"/>
        </w:rPr>
        <w:t>er</w:t>
      </w:r>
      <w:r w:rsidR="00353E52" w:rsidRPr="0026374F">
        <w:rPr>
          <w:b/>
          <w:bCs/>
          <w:iCs/>
          <w:sz w:val="16"/>
          <w:szCs w:val="16"/>
        </w:rPr>
        <w:t xml:space="preserve"> </w:t>
      </w:r>
      <w:r w:rsidRPr="0026374F">
        <w:rPr>
          <w:b/>
          <w:bCs/>
          <w:iCs/>
          <w:sz w:val="16"/>
          <w:szCs w:val="16"/>
        </w:rPr>
        <w:t>categories of emergency may be easier</w:t>
      </w:r>
      <w:r w:rsidR="006C4046">
        <w:rPr>
          <w:b/>
          <w:bCs/>
          <w:iCs/>
          <w:sz w:val="16"/>
          <w:szCs w:val="16"/>
        </w:rPr>
        <w:t xml:space="preserve"> to situate in the landscape of human rights and humanitarian law</w:t>
      </w:r>
      <w:r w:rsidR="00353E52" w:rsidRPr="0026374F">
        <w:rPr>
          <w:b/>
          <w:bCs/>
          <w:iCs/>
          <w:sz w:val="16"/>
          <w:szCs w:val="16"/>
        </w:rPr>
        <w:t>:</w:t>
      </w:r>
    </w:p>
    <w:p w:rsidR="0026374F" w:rsidRPr="00A86381" w:rsidRDefault="00D559D1" w:rsidP="00A86381">
      <w:pPr>
        <w:jc w:val="right"/>
        <w:rPr>
          <w:b/>
          <w:iCs/>
        </w:rPr>
      </w:pPr>
      <w:r w:rsidRPr="00D559D1">
        <w:rPr>
          <w:b/>
          <w:iCs/>
          <w:noProof/>
          <w:lang w:eastAsia="en-GB"/>
        </w:rPr>
        <w:drawing>
          <wp:inline distT="0" distB="0" distL="0" distR="0">
            <wp:extent cx="5577840" cy="2491740"/>
            <wp:effectExtent l="0" t="0" r="0" b="0"/>
            <wp:docPr id="13"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51875" cy="4154488"/>
                      <a:chOff x="207963" y="2505075"/>
                      <a:chExt cx="8651875" cy="4154488"/>
                    </a:xfrm>
                  </a:grpSpPr>
                  <a:pic>
                    <a:nvPicPr>
                      <a:cNvPr id="21510" name="Content Placeholder 22" descr="Picture3.png"/>
                      <a:cNvPicPr>
                        <a:picLocks noGrp="1" noChangeAspect="1"/>
                      </a:cNvPicPr>
                    </a:nvPicPr>
                    <a:blipFill>
                      <a:blip r:embed="rId20" cstate="print"/>
                      <a:srcRect/>
                      <a:stretch>
                        <a:fillRect/>
                      </a:stretch>
                    </a:blipFill>
                    <a:spPr bwMode="auto">
                      <a:xfrm>
                        <a:off x="207963" y="2551113"/>
                        <a:ext cx="8229600" cy="3954462"/>
                      </a:xfrm>
                      <a:prstGeom prst="rect">
                        <a:avLst/>
                      </a:prstGeom>
                      <a:noFill/>
                      <a:ln w="9525">
                        <a:noFill/>
                        <a:miter lim="800000"/>
                        <a:headEnd/>
                        <a:tailEnd/>
                      </a:ln>
                    </a:spPr>
                  </a:pic>
                  <a:grpSp>
                    <a:nvGrpSpPr>
                      <a:cNvPr id="21511" name="Group 23"/>
                      <a:cNvGrpSpPr>
                        <a:grpSpLocks/>
                      </a:cNvGrpSpPr>
                    </a:nvGrpSpPr>
                    <a:grpSpPr bwMode="auto">
                      <a:xfrm>
                        <a:off x="3789363" y="2505075"/>
                        <a:ext cx="5070475" cy="1804988"/>
                        <a:chOff x="83130" y="-280789"/>
                        <a:chExt cx="5069225" cy="1804792"/>
                      </a:xfrm>
                    </a:grpSpPr>
                    <a:sp>
                      <a:nvSpPr>
                        <a:cNvPr id="25" name="Rectangle 24"/>
                        <a:cNvSpPr/>
                      </a:nvSpPr>
                      <a:spPr>
                        <a:xfrm>
                          <a:off x="83130" y="65574"/>
                          <a:ext cx="1868825" cy="1458429"/>
                        </a:xfrm>
                        <a:prstGeom prst="rect">
                          <a:avLst/>
                        </a:prstGeom>
                        <a:noFill/>
                        <a:ln>
                          <a:noFill/>
                        </a:ln>
                        <a:sp3d/>
                      </a:spPr>
                      <a:style>
                        <a:lnRef idx="0">
                          <a:scrgbClr r="0" g="0" b="0"/>
                        </a:lnRef>
                        <a:fillRef idx="0">
                          <a:scrgbClr r="0" g="0" b="0"/>
                        </a:fillRef>
                        <a:effectRef idx="0">
                          <a:schemeClr val="lt1">
                            <a:alpha val="0"/>
                            <a:hueOff val="0"/>
                            <a:satOff val="0"/>
                            <a:lumOff val="0"/>
                            <a:alphaOff val="0"/>
                          </a:schemeClr>
                        </a:effectRef>
                        <a:fontRef idx="minor">
                          <a:schemeClr val="tx1">
                            <a:hueOff val="0"/>
                            <a:satOff val="0"/>
                            <a:lumOff val="0"/>
                            <a:alphaOff val="0"/>
                          </a:schemeClr>
                        </a:fontRef>
                      </a:style>
                    </a:sp>
                    <a:sp>
                      <a:nvSpPr>
                        <a:cNvPr id="26" name="Rectangle 25"/>
                        <a:cNvSpPr/>
                      </a:nvSpPr>
                      <a:spPr>
                        <a:xfrm>
                          <a:off x="3283530" y="-280789"/>
                          <a:ext cx="1868825" cy="1458429"/>
                        </a:xfrm>
                        <a:prstGeom prst="rect">
                          <a:avLst/>
                        </a:prstGeom>
                        <a:sp3d/>
                      </a:spPr>
                      <a:txSp>
                        <a:txBody>
                          <a:bodyPr lIns="0" tIns="0" rIns="0" bIns="0" spcCol="1270" anchor="ctr"/>
                          <a:lstStyle>
                            <a:defPPr>
                              <a:defRPr lang="en-US"/>
                            </a:defPPr>
                            <a:lvl1pPr algn="l" rtl="0" fontAlgn="base">
                              <a:spcBef>
                                <a:spcPct val="0"/>
                              </a:spcBef>
                              <a:spcAft>
                                <a:spcPct val="0"/>
                              </a:spcAft>
                              <a:defRPr kern="1200">
                                <a:solidFill>
                                  <a:schemeClr val="tx1">
                                    <a:hueOff val="0"/>
                                    <a:satOff val="0"/>
                                    <a:lumOff val="0"/>
                                    <a:alphaOff val="0"/>
                                  </a:schemeClr>
                                </a:solidFill>
                                <a:latin typeface="+mn-lt"/>
                                <a:ea typeface="+mn-ea"/>
                                <a:cs typeface="+mn-cs"/>
                              </a:defRPr>
                            </a:lvl1pPr>
                            <a:lvl2pPr marL="457200" algn="l" rtl="0" fontAlgn="base">
                              <a:spcBef>
                                <a:spcPct val="0"/>
                              </a:spcBef>
                              <a:spcAft>
                                <a:spcPct val="0"/>
                              </a:spcAft>
                              <a:defRPr kern="1200">
                                <a:solidFill>
                                  <a:schemeClr val="tx1">
                                    <a:hueOff val="0"/>
                                    <a:satOff val="0"/>
                                    <a:lumOff val="0"/>
                                    <a:alphaOff val="0"/>
                                  </a:schemeClr>
                                </a:solidFill>
                                <a:latin typeface="+mn-lt"/>
                                <a:ea typeface="+mn-ea"/>
                                <a:cs typeface="+mn-cs"/>
                              </a:defRPr>
                            </a:lvl2pPr>
                            <a:lvl3pPr marL="914400" algn="l" rtl="0" fontAlgn="base">
                              <a:spcBef>
                                <a:spcPct val="0"/>
                              </a:spcBef>
                              <a:spcAft>
                                <a:spcPct val="0"/>
                              </a:spcAft>
                              <a:defRPr kern="1200">
                                <a:solidFill>
                                  <a:schemeClr val="tx1">
                                    <a:hueOff val="0"/>
                                    <a:satOff val="0"/>
                                    <a:lumOff val="0"/>
                                    <a:alphaOff val="0"/>
                                  </a:schemeClr>
                                </a:solidFill>
                                <a:latin typeface="+mn-lt"/>
                                <a:ea typeface="+mn-ea"/>
                                <a:cs typeface="+mn-cs"/>
                              </a:defRPr>
                            </a:lvl3pPr>
                            <a:lvl4pPr marL="1371600" algn="l" rtl="0" fontAlgn="base">
                              <a:spcBef>
                                <a:spcPct val="0"/>
                              </a:spcBef>
                              <a:spcAft>
                                <a:spcPct val="0"/>
                              </a:spcAft>
                              <a:defRPr kern="1200">
                                <a:solidFill>
                                  <a:schemeClr val="tx1">
                                    <a:hueOff val="0"/>
                                    <a:satOff val="0"/>
                                    <a:lumOff val="0"/>
                                    <a:alphaOff val="0"/>
                                  </a:schemeClr>
                                </a:solidFill>
                                <a:latin typeface="+mn-lt"/>
                                <a:ea typeface="+mn-ea"/>
                                <a:cs typeface="+mn-cs"/>
                              </a:defRPr>
                            </a:lvl4pPr>
                            <a:lvl5pPr marL="1828800" algn="l" rtl="0" fontAlgn="base">
                              <a:spcBef>
                                <a:spcPct val="0"/>
                              </a:spcBef>
                              <a:spcAft>
                                <a:spcPct val="0"/>
                              </a:spcAft>
                              <a:defRPr kern="1200">
                                <a:solidFill>
                                  <a:schemeClr val="tx1">
                                    <a:hueOff val="0"/>
                                    <a:satOff val="0"/>
                                    <a:lumOff val="0"/>
                                    <a:alphaOff val="0"/>
                                  </a:schemeClr>
                                </a:solidFill>
                                <a:latin typeface="+mn-lt"/>
                                <a:ea typeface="+mn-ea"/>
                                <a:cs typeface="+mn-cs"/>
                              </a:defRPr>
                            </a:lvl5pPr>
                            <a:lvl6pPr marL="2286000" algn="l" defTabSz="914400" rtl="0" eaLnBrk="1" latinLnBrk="0" hangingPunct="1">
                              <a:defRPr kern="1200">
                                <a:solidFill>
                                  <a:schemeClr val="tx1">
                                    <a:hueOff val="0"/>
                                    <a:satOff val="0"/>
                                    <a:lumOff val="0"/>
                                    <a:alphaOff val="0"/>
                                  </a:schemeClr>
                                </a:solidFill>
                                <a:latin typeface="+mn-lt"/>
                                <a:ea typeface="+mn-ea"/>
                                <a:cs typeface="+mn-cs"/>
                              </a:defRPr>
                            </a:lvl6pPr>
                            <a:lvl7pPr marL="2743200" algn="l" defTabSz="914400" rtl="0" eaLnBrk="1" latinLnBrk="0" hangingPunct="1">
                              <a:defRPr kern="1200">
                                <a:solidFill>
                                  <a:schemeClr val="tx1">
                                    <a:hueOff val="0"/>
                                    <a:satOff val="0"/>
                                    <a:lumOff val="0"/>
                                    <a:alphaOff val="0"/>
                                  </a:schemeClr>
                                </a:solidFill>
                                <a:latin typeface="+mn-lt"/>
                                <a:ea typeface="+mn-ea"/>
                                <a:cs typeface="+mn-cs"/>
                              </a:defRPr>
                            </a:lvl7pPr>
                            <a:lvl8pPr marL="3200400" algn="l" defTabSz="914400" rtl="0" eaLnBrk="1" latinLnBrk="0" hangingPunct="1">
                              <a:defRPr kern="1200">
                                <a:solidFill>
                                  <a:schemeClr val="tx1">
                                    <a:hueOff val="0"/>
                                    <a:satOff val="0"/>
                                    <a:lumOff val="0"/>
                                    <a:alphaOff val="0"/>
                                  </a:schemeClr>
                                </a:solidFill>
                                <a:latin typeface="+mn-lt"/>
                                <a:ea typeface="+mn-ea"/>
                                <a:cs typeface="+mn-cs"/>
                              </a:defRPr>
                            </a:lvl8pPr>
                            <a:lvl9pPr marL="3657600" algn="l" defTabSz="914400" rtl="0" eaLnBrk="1" latinLnBrk="0" hangingPunct="1">
                              <a:defRPr kern="1200">
                                <a:solidFill>
                                  <a:schemeClr val="tx1">
                                    <a:hueOff val="0"/>
                                    <a:satOff val="0"/>
                                    <a:lumOff val="0"/>
                                    <a:alphaOff val="0"/>
                                  </a:schemeClr>
                                </a:solidFill>
                                <a:latin typeface="+mn-lt"/>
                                <a:ea typeface="+mn-ea"/>
                                <a:cs typeface="+mn-cs"/>
                              </a:defRPr>
                            </a:lvl9pPr>
                          </a:lstStyle>
                          <a:p>
                            <a:pPr algn="ctr" defTabSz="1066800">
                              <a:lnSpc>
                                <a:spcPct val="90000"/>
                              </a:lnSpc>
                              <a:spcAft>
                                <a:spcPct val="35000"/>
                              </a:spcAft>
                              <a:defRPr/>
                            </a:pPr>
                            <a:endParaRPr lang="en-GB" sz="2400" b="1" dirty="0">
                              <a:solidFill>
                                <a:schemeClr val="tx1"/>
                              </a:solidFill>
                            </a:endParaRPr>
                          </a:p>
                          <a:p>
                            <a:pPr algn="ctr" defTabSz="1066800">
                              <a:lnSpc>
                                <a:spcPct val="90000"/>
                              </a:lnSpc>
                              <a:spcAft>
                                <a:spcPct val="35000"/>
                              </a:spcAft>
                              <a:defRPr/>
                            </a:pPr>
                            <a:r>
                              <a:rPr lang="en-GB" sz="2400" b="1" dirty="0">
                                <a:solidFill>
                                  <a:schemeClr val="tx1"/>
                                </a:solidFill>
                              </a:rPr>
                              <a:t>Armed conflict</a:t>
                            </a:r>
                          </a:p>
                        </a:txBody>
                        <a:useSpRect/>
                      </a:txSp>
                      <a:style>
                        <a:lnRef idx="0">
                          <a:scrgbClr r="0" g="0" b="0"/>
                        </a:lnRef>
                        <a:fillRef idx="0">
                          <a:scrgbClr r="0" g="0" b="0"/>
                        </a:fillRef>
                        <a:effectRef idx="0">
                          <a:scrgbClr r="0" g="0" b="0"/>
                        </a:effectRef>
                        <a:fontRef idx="minor">
                          <a:schemeClr val="tx1">
                            <a:hueOff val="0"/>
                            <a:satOff val="0"/>
                            <a:lumOff val="0"/>
                            <a:alphaOff val="0"/>
                          </a:schemeClr>
                        </a:fontRef>
                      </a:style>
                    </a:sp>
                  </a:grpSp>
                  <a:graphicFrame>
                    <a:nvGraphicFramePr>
                      <a:cNvPr id="17" name="Diagram 16"/>
                      <a:cNvGraphicFramePr/>
                    </a:nvGraphicFramePr>
                    <a:graphic>
                      <a:graphicData uri="http://schemas.openxmlformats.org/drawingml/2006/diagram">
                        <dgm:relIds xmlns:dgm="http://schemas.openxmlformats.org/drawingml/2006/diagram" xmlns:r="http://schemas.openxmlformats.org/officeDocument/2006/relationships" r:dm="rId21" r:lo="rId22" r:qs="rId23" r:cs="rId24"/>
                      </a:graphicData>
                    </a:graphic>
                    <a:xfrm>
                      <a:off x="3492636" y="6160417"/>
                      <a:ext cx="4572000" cy="369332"/>
                    </a:xfrm>
                  </a:graphicFrame>
                  <a:sp>
                    <a:nvSpPr>
                      <a:cNvPr id="19" name="Oval 18"/>
                      <a:cNvSpPr/>
                    </a:nvSpPr>
                    <a:spPr>
                      <a:xfrm rot="18078225" flipV="1">
                        <a:off x="4931568" y="3793332"/>
                        <a:ext cx="3211513" cy="2520950"/>
                      </a:xfrm>
                      <a:prstGeom prst="ellipse">
                        <a:avLst/>
                      </a:prstGeom>
                      <a:solidFill>
                        <a:srgbClr val="FFFF00">
                          <a:alpha val="50000"/>
                        </a:srgbClr>
                      </a:solidFill>
                    </a:spPr>
                    <a:style>
                      <a:lnRef idx="2">
                        <a:schemeClr val="lt1">
                          <a:hueOff val="0"/>
                          <a:satOff val="0"/>
                          <a:lumOff val="0"/>
                          <a:alphaOff val="0"/>
                        </a:schemeClr>
                      </a:lnRef>
                      <a:fillRef idx="1">
                        <a:scrgbClr r="0" g="0" b="0"/>
                      </a:fillRef>
                      <a:effectRef idx="0">
                        <a:schemeClr val="accent1">
                          <a:alpha val="50000"/>
                          <a:hueOff val="0"/>
                          <a:satOff val="0"/>
                          <a:lumOff val="0"/>
                          <a:alphaOff val="0"/>
                        </a:schemeClr>
                      </a:effectRef>
                      <a:fontRef idx="minor">
                        <a:schemeClr val="tx1"/>
                      </a:fontRef>
                    </a:style>
                  </a:sp>
                </lc:lockedCanvas>
              </a:graphicData>
            </a:graphic>
          </wp:inline>
        </w:drawing>
      </w:r>
      <w:r>
        <w:rPr>
          <w:b/>
          <w:iCs/>
          <w:sz w:val="16"/>
          <w:szCs w:val="16"/>
        </w:rPr>
        <w:t>Figure 3</w:t>
      </w:r>
    </w:p>
    <w:p w:rsidR="006C4046" w:rsidRPr="00A86381" w:rsidRDefault="00CC7F8F" w:rsidP="006C4046">
      <w:pPr>
        <w:rPr>
          <w:b/>
          <w:iCs/>
          <w:sz w:val="24"/>
          <w:szCs w:val="24"/>
        </w:rPr>
      </w:pPr>
      <w:r>
        <w:rPr>
          <w:b/>
          <w:iCs/>
          <w:sz w:val="24"/>
          <w:szCs w:val="24"/>
        </w:rPr>
        <w:t>Some k</w:t>
      </w:r>
      <w:r w:rsidR="006C4046" w:rsidRPr="00A86381">
        <w:rPr>
          <w:b/>
          <w:iCs/>
          <w:sz w:val="24"/>
          <w:szCs w:val="24"/>
        </w:rPr>
        <w:t>ey focus areas for human rights action:</w:t>
      </w:r>
    </w:p>
    <w:tbl>
      <w:tblPr>
        <w:tblStyle w:val="TableGrid"/>
        <w:tblW w:w="10348" w:type="dxa"/>
        <w:tblInd w:w="-459" w:type="dxa"/>
        <w:tblLook w:val="04A0"/>
      </w:tblPr>
      <w:tblGrid>
        <w:gridCol w:w="4536"/>
        <w:gridCol w:w="5812"/>
      </w:tblGrid>
      <w:tr w:rsidR="0026374F" w:rsidTr="00A86381">
        <w:tc>
          <w:tcPr>
            <w:tcW w:w="4536" w:type="dxa"/>
            <w:shd w:val="clear" w:color="auto" w:fill="95B3D7" w:themeFill="accent1" w:themeFillTint="99"/>
          </w:tcPr>
          <w:p w:rsidR="0026374F" w:rsidRDefault="0026374F">
            <w:pPr>
              <w:rPr>
                <w:b/>
                <w:iCs/>
                <w:sz w:val="16"/>
                <w:szCs w:val="16"/>
              </w:rPr>
            </w:pPr>
            <w:r>
              <w:rPr>
                <w:b/>
                <w:iCs/>
                <w:sz w:val="16"/>
                <w:szCs w:val="16"/>
              </w:rPr>
              <w:t>‘Natural’ and man-made emergencies</w:t>
            </w:r>
          </w:p>
        </w:tc>
        <w:tc>
          <w:tcPr>
            <w:tcW w:w="5812" w:type="dxa"/>
            <w:shd w:val="clear" w:color="auto" w:fill="95B3D7" w:themeFill="accent1" w:themeFillTint="99"/>
          </w:tcPr>
          <w:p w:rsidR="0026374F" w:rsidRDefault="0026374F">
            <w:pPr>
              <w:rPr>
                <w:b/>
                <w:iCs/>
                <w:sz w:val="16"/>
                <w:szCs w:val="16"/>
              </w:rPr>
            </w:pPr>
            <w:r>
              <w:rPr>
                <w:b/>
                <w:iCs/>
                <w:sz w:val="16"/>
                <w:szCs w:val="16"/>
              </w:rPr>
              <w:t>Armed conflict</w:t>
            </w:r>
          </w:p>
        </w:tc>
      </w:tr>
      <w:tr w:rsidR="0026374F" w:rsidTr="00A86381">
        <w:tc>
          <w:tcPr>
            <w:tcW w:w="4536" w:type="dxa"/>
          </w:tcPr>
          <w:p w:rsidR="0026374F" w:rsidRPr="006C4046" w:rsidRDefault="0026374F">
            <w:pPr>
              <w:rPr>
                <w:rFonts w:cstheme="minorHAnsi"/>
                <w:b/>
                <w:iCs/>
                <w:sz w:val="16"/>
                <w:szCs w:val="16"/>
              </w:rPr>
            </w:pPr>
            <w:r w:rsidRPr="006C4046">
              <w:rPr>
                <w:rFonts w:cstheme="minorHAnsi"/>
                <w:b/>
                <w:iCs/>
                <w:sz w:val="16"/>
                <w:szCs w:val="16"/>
              </w:rPr>
              <w:t xml:space="preserve">Key focus: </w:t>
            </w:r>
            <w:r w:rsidRPr="006C4046">
              <w:rPr>
                <w:rFonts w:cstheme="minorHAnsi"/>
                <w:sz w:val="16"/>
                <w:szCs w:val="16"/>
              </w:rPr>
              <w:t>obligations of government; voice of marginalised; disaster risk reduction (DRR); Non-discrimin</w:t>
            </w:r>
            <w:r w:rsidR="004566D9">
              <w:rPr>
                <w:rFonts w:cstheme="minorHAnsi"/>
                <w:sz w:val="16"/>
                <w:szCs w:val="16"/>
              </w:rPr>
              <w:t>ation against particular groups;</w:t>
            </w:r>
            <w:r w:rsidRPr="006C4046">
              <w:rPr>
                <w:rFonts w:cstheme="minorHAnsi"/>
                <w:sz w:val="16"/>
                <w:szCs w:val="16"/>
              </w:rPr>
              <w:t xml:space="preserve"> participation and voice in reconstruction efforts</w:t>
            </w:r>
          </w:p>
        </w:tc>
        <w:tc>
          <w:tcPr>
            <w:tcW w:w="5812" w:type="dxa"/>
          </w:tcPr>
          <w:p w:rsidR="0026374F" w:rsidRPr="006C4046" w:rsidRDefault="0026374F">
            <w:pPr>
              <w:rPr>
                <w:rFonts w:cstheme="minorHAnsi"/>
                <w:b/>
                <w:iCs/>
                <w:sz w:val="16"/>
                <w:szCs w:val="16"/>
              </w:rPr>
            </w:pPr>
            <w:r w:rsidRPr="006C4046">
              <w:rPr>
                <w:rFonts w:cstheme="minorHAnsi"/>
                <w:b/>
                <w:iCs/>
                <w:sz w:val="16"/>
                <w:szCs w:val="16"/>
              </w:rPr>
              <w:t xml:space="preserve">Key focus: </w:t>
            </w:r>
            <w:r w:rsidRPr="006C4046">
              <w:rPr>
                <w:rFonts w:cstheme="minorHAnsi"/>
                <w:sz w:val="16"/>
                <w:szCs w:val="16"/>
              </w:rPr>
              <w:t xml:space="preserve">protection and safety of learners and schools; impunity; conflict mitigation; </w:t>
            </w:r>
            <w:r w:rsidR="004566D9">
              <w:rPr>
                <w:rFonts w:cstheme="minorHAnsi"/>
                <w:sz w:val="16"/>
                <w:szCs w:val="16"/>
              </w:rPr>
              <w:t>p</w:t>
            </w:r>
            <w:r w:rsidRPr="006C4046">
              <w:rPr>
                <w:rFonts w:cstheme="minorHAnsi"/>
                <w:sz w:val="16"/>
                <w:szCs w:val="16"/>
              </w:rPr>
              <w:t>hysical integrity in situations where violence is generalized and arms proliferate; violence against women (which frequently rises during and after conflict)</w:t>
            </w:r>
          </w:p>
        </w:tc>
      </w:tr>
    </w:tbl>
    <w:p w:rsidR="0026374F" w:rsidRPr="0026374F" w:rsidRDefault="0026374F">
      <w:pPr>
        <w:rPr>
          <w:b/>
          <w:iCs/>
          <w:sz w:val="16"/>
          <w:szCs w:val="16"/>
        </w:rPr>
      </w:pPr>
    </w:p>
    <w:sectPr w:rsidR="0026374F" w:rsidRPr="0026374F" w:rsidSect="00D559D1">
      <w:type w:val="continuous"/>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36A" w:rsidRDefault="002B436A" w:rsidP="00F903DB">
      <w:pPr>
        <w:spacing w:after="0" w:line="240" w:lineRule="auto"/>
      </w:pPr>
      <w:r>
        <w:separator/>
      </w:r>
    </w:p>
  </w:endnote>
  <w:endnote w:type="continuationSeparator" w:id="0">
    <w:p w:rsidR="002B436A" w:rsidRDefault="002B436A" w:rsidP="00F903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3DB" w:rsidRDefault="00F903DB">
    <w:pPr>
      <w:pStyle w:val="Footer"/>
    </w:pPr>
    <w:r w:rsidRPr="00F903DB">
      <w:rPr>
        <w:noProof/>
        <w:lang w:eastAsia="en-GB"/>
      </w:rPr>
      <w:drawing>
        <wp:inline distT="0" distB="0" distL="0" distR="0">
          <wp:extent cx="5731510" cy="223504"/>
          <wp:effectExtent l="0" t="0" r="0" b="0"/>
          <wp:docPr id="16" name="Objec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320675"/>
                    <a:chOff x="463550" y="6400800"/>
                    <a:chExt cx="8229600" cy="320675"/>
                  </a:xfrm>
                </a:grpSpPr>
                <a:sp>
                  <a:nvSpPr>
                    <a:cNvPr id="15364" name="Footer Placeholder 3"/>
                    <a:cNvSpPr>
                      <a:spLocks noGrp="1"/>
                    </a:cNvSpPr>
                  </a:nvSpPr>
                  <a:spPr bwMode="auto">
                    <a:xfrm>
                      <a:off x="463550" y="6400800"/>
                      <a:ext cx="8229600" cy="320675"/>
                    </a:xfrm>
                    <a:prstGeom prst="rect">
                      <a:avLst/>
                    </a:prstGeom>
                    <a:noFill/>
                    <a:ln w="9525">
                      <a:noFill/>
                      <a:miter lim="800000"/>
                      <a:headEnd/>
                      <a:tailEnd/>
                    </a:ln>
                    <a:effectLst/>
                  </a:spPr>
                  <a:txSp>
                    <a:txBody>
                      <a:bodyPr vert="horz" wrap="square" lIns="91440" tIns="45720" rIns="91440" bIns="45720" numCol="1" anchor="t" anchorCtr="0" compatLnSpc="1">
                        <a:prstTxWarp prst="textNoShape">
                          <a:avLst/>
                        </a:prstTxWarp>
                      </a:bodyPr>
                      <a:lstStyle>
                        <a:defPPr>
                          <a:defRPr lang="en-US"/>
                        </a:defPPr>
                        <a:lvl1pPr algn="r" rtl="0" fontAlgn="base">
                          <a:spcBef>
                            <a:spcPct val="0"/>
                          </a:spcBef>
                          <a:spcAft>
                            <a:spcPct val="0"/>
                          </a:spcAft>
                          <a:defRPr sz="1200" kern="1200">
                            <a:solidFill>
                              <a:srgbClr val="000066"/>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GB" smtClean="0"/>
                          <a:t>INEE and Education Cluster </a:t>
                        </a:r>
                        <a:endParaRPr lang="en-US" smtClean="0"/>
                      </a:p>
                    </a:txBody>
                    <a:useSpRect/>
                  </a:txSp>
                </a:sp>
              </lc:lockedCanvas>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36A" w:rsidRDefault="002B436A" w:rsidP="00F903DB">
      <w:pPr>
        <w:spacing w:after="0" w:line="240" w:lineRule="auto"/>
      </w:pPr>
      <w:r>
        <w:separator/>
      </w:r>
    </w:p>
  </w:footnote>
  <w:footnote w:type="continuationSeparator" w:id="0">
    <w:p w:rsidR="002B436A" w:rsidRDefault="002B436A" w:rsidP="00F903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F1859"/>
    <w:multiLevelType w:val="hybridMultilevel"/>
    <w:tmpl w:val="6EEA6AB4"/>
    <w:lvl w:ilvl="0" w:tplc="FA72823E">
      <w:start w:val="1"/>
      <w:numFmt w:val="bullet"/>
      <w:lvlText w:val="•"/>
      <w:lvlJc w:val="left"/>
      <w:pPr>
        <w:tabs>
          <w:tab w:val="num" w:pos="720"/>
        </w:tabs>
        <w:ind w:left="720" w:hanging="360"/>
      </w:pPr>
      <w:rPr>
        <w:rFonts w:ascii="Times New Roman" w:hAnsi="Times New Roman" w:hint="default"/>
      </w:rPr>
    </w:lvl>
    <w:lvl w:ilvl="1" w:tplc="FDF2F040" w:tentative="1">
      <w:start w:val="1"/>
      <w:numFmt w:val="bullet"/>
      <w:lvlText w:val="•"/>
      <w:lvlJc w:val="left"/>
      <w:pPr>
        <w:tabs>
          <w:tab w:val="num" w:pos="1440"/>
        </w:tabs>
        <w:ind w:left="1440" w:hanging="360"/>
      </w:pPr>
      <w:rPr>
        <w:rFonts w:ascii="Times New Roman" w:hAnsi="Times New Roman" w:hint="default"/>
      </w:rPr>
    </w:lvl>
    <w:lvl w:ilvl="2" w:tplc="4CAE04D0" w:tentative="1">
      <w:start w:val="1"/>
      <w:numFmt w:val="bullet"/>
      <w:lvlText w:val="•"/>
      <w:lvlJc w:val="left"/>
      <w:pPr>
        <w:tabs>
          <w:tab w:val="num" w:pos="2160"/>
        </w:tabs>
        <w:ind w:left="2160" w:hanging="360"/>
      </w:pPr>
      <w:rPr>
        <w:rFonts w:ascii="Times New Roman" w:hAnsi="Times New Roman" w:hint="default"/>
      </w:rPr>
    </w:lvl>
    <w:lvl w:ilvl="3" w:tplc="E1040AB2" w:tentative="1">
      <w:start w:val="1"/>
      <w:numFmt w:val="bullet"/>
      <w:lvlText w:val="•"/>
      <w:lvlJc w:val="left"/>
      <w:pPr>
        <w:tabs>
          <w:tab w:val="num" w:pos="2880"/>
        </w:tabs>
        <w:ind w:left="2880" w:hanging="360"/>
      </w:pPr>
      <w:rPr>
        <w:rFonts w:ascii="Times New Roman" w:hAnsi="Times New Roman" w:hint="default"/>
      </w:rPr>
    </w:lvl>
    <w:lvl w:ilvl="4" w:tplc="D3B436E4" w:tentative="1">
      <w:start w:val="1"/>
      <w:numFmt w:val="bullet"/>
      <w:lvlText w:val="•"/>
      <w:lvlJc w:val="left"/>
      <w:pPr>
        <w:tabs>
          <w:tab w:val="num" w:pos="3600"/>
        </w:tabs>
        <w:ind w:left="3600" w:hanging="360"/>
      </w:pPr>
      <w:rPr>
        <w:rFonts w:ascii="Times New Roman" w:hAnsi="Times New Roman" w:hint="default"/>
      </w:rPr>
    </w:lvl>
    <w:lvl w:ilvl="5" w:tplc="24566DCA" w:tentative="1">
      <w:start w:val="1"/>
      <w:numFmt w:val="bullet"/>
      <w:lvlText w:val="•"/>
      <w:lvlJc w:val="left"/>
      <w:pPr>
        <w:tabs>
          <w:tab w:val="num" w:pos="4320"/>
        </w:tabs>
        <w:ind w:left="4320" w:hanging="360"/>
      </w:pPr>
      <w:rPr>
        <w:rFonts w:ascii="Times New Roman" w:hAnsi="Times New Roman" w:hint="default"/>
      </w:rPr>
    </w:lvl>
    <w:lvl w:ilvl="6" w:tplc="7BDAFDC6" w:tentative="1">
      <w:start w:val="1"/>
      <w:numFmt w:val="bullet"/>
      <w:lvlText w:val="•"/>
      <w:lvlJc w:val="left"/>
      <w:pPr>
        <w:tabs>
          <w:tab w:val="num" w:pos="5040"/>
        </w:tabs>
        <w:ind w:left="5040" w:hanging="360"/>
      </w:pPr>
      <w:rPr>
        <w:rFonts w:ascii="Times New Roman" w:hAnsi="Times New Roman" w:hint="default"/>
      </w:rPr>
    </w:lvl>
    <w:lvl w:ilvl="7" w:tplc="3E92B192" w:tentative="1">
      <w:start w:val="1"/>
      <w:numFmt w:val="bullet"/>
      <w:lvlText w:val="•"/>
      <w:lvlJc w:val="left"/>
      <w:pPr>
        <w:tabs>
          <w:tab w:val="num" w:pos="5760"/>
        </w:tabs>
        <w:ind w:left="5760" w:hanging="360"/>
      </w:pPr>
      <w:rPr>
        <w:rFonts w:ascii="Times New Roman" w:hAnsi="Times New Roman" w:hint="default"/>
      </w:rPr>
    </w:lvl>
    <w:lvl w:ilvl="8" w:tplc="BD087C4A" w:tentative="1">
      <w:start w:val="1"/>
      <w:numFmt w:val="bullet"/>
      <w:lvlText w:val="•"/>
      <w:lvlJc w:val="left"/>
      <w:pPr>
        <w:tabs>
          <w:tab w:val="num" w:pos="6480"/>
        </w:tabs>
        <w:ind w:left="6480" w:hanging="360"/>
      </w:pPr>
      <w:rPr>
        <w:rFonts w:ascii="Times New Roman" w:hAnsi="Times New Roman" w:hint="default"/>
      </w:rPr>
    </w:lvl>
  </w:abstractNum>
  <w:abstractNum w:abstractNumId="1">
    <w:nsid w:val="5779789A"/>
    <w:multiLevelType w:val="hybridMultilevel"/>
    <w:tmpl w:val="B524CF0A"/>
    <w:lvl w:ilvl="0" w:tplc="41BC3176">
      <w:start w:val="1"/>
      <w:numFmt w:val="bullet"/>
      <w:lvlText w:val=""/>
      <w:lvlJc w:val="left"/>
      <w:pPr>
        <w:tabs>
          <w:tab w:val="num" w:pos="720"/>
        </w:tabs>
        <w:ind w:left="720" w:hanging="360"/>
      </w:pPr>
      <w:rPr>
        <w:rFonts w:ascii="Wingdings" w:hAnsi="Wingdings" w:hint="default"/>
      </w:rPr>
    </w:lvl>
    <w:lvl w:ilvl="1" w:tplc="E782177E" w:tentative="1">
      <w:start w:val="1"/>
      <w:numFmt w:val="bullet"/>
      <w:lvlText w:val=""/>
      <w:lvlJc w:val="left"/>
      <w:pPr>
        <w:tabs>
          <w:tab w:val="num" w:pos="1440"/>
        </w:tabs>
        <w:ind w:left="1440" w:hanging="360"/>
      </w:pPr>
      <w:rPr>
        <w:rFonts w:ascii="Wingdings" w:hAnsi="Wingdings" w:hint="default"/>
      </w:rPr>
    </w:lvl>
    <w:lvl w:ilvl="2" w:tplc="7A42CC70" w:tentative="1">
      <w:start w:val="1"/>
      <w:numFmt w:val="bullet"/>
      <w:lvlText w:val=""/>
      <w:lvlJc w:val="left"/>
      <w:pPr>
        <w:tabs>
          <w:tab w:val="num" w:pos="2160"/>
        </w:tabs>
        <w:ind w:left="2160" w:hanging="360"/>
      </w:pPr>
      <w:rPr>
        <w:rFonts w:ascii="Wingdings" w:hAnsi="Wingdings" w:hint="default"/>
      </w:rPr>
    </w:lvl>
    <w:lvl w:ilvl="3" w:tplc="849E4546" w:tentative="1">
      <w:start w:val="1"/>
      <w:numFmt w:val="bullet"/>
      <w:lvlText w:val=""/>
      <w:lvlJc w:val="left"/>
      <w:pPr>
        <w:tabs>
          <w:tab w:val="num" w:pos="2880"/>
        </w:tabs>
        <w:ind w:left="2880" w:hanging="360"/>
      </w:pPr>
      <w:rPr>
        <w:rFonts w:ascii="Wingdings" w:hAnsi="Wingdings" w:hint="default"/>
      </w:rPr>
    </w:lvl>
    <w:lvl w:ilvl="4" w:tplc="EF8EA1FC" w:tentative="1">
      <w:start w:val="1"/>
      <w:numFmt w:val="bullet"/>
      <w:lvlText w:val=""/>
      <w:lvlJc w:val="left"/>
      <w:pPr>
        <w:tabs>
          <w:tab w:val="num" w:pos="3600"/>
        </w:tabs>
        <w:ind w:left="3600" w:hanging="360"/>
      </w:pPr>
      <w:rPr>
        <w:rFonts w:ascii="Wingdings" w:hAnsi="Wingdings" w:hint="default"/>
      </w:rPr>
    </w:lvl>
    <w:lvl w:ilvl="5" w:tplc="D4D691D4" w:tentative="1">
      <w:start w:val="1"/>
      <w:numFmt w:val="bullet"/>
      <w:lvlText w:val=""/>
      <w:lvlJc w:val="left"/>
      <w:pPr>
        <w:tabs>
          <w:tab w:val="num" w:pos="4320"/>
        </w:tabs>
        <w:ind w:left="4320" w:hanging="360"/>
      </w:pPr>
      <w:rPr>
        <w:rFonts w:ascii="Wingdings" w:hAnsi="Wingdings" w:hint="default"/>
      </w:rPr>
    </w:lvl>
    <w:lvl w:ilvl="6" w:tplc="1682C574" w:tentative="1">
      <w:start w:val="1"/>
      <w:numFmt w:val="bullet"/>
      <w:lvlText w:val=""/>
      <w:lvlJc w:val="left"/>
      <w:pPr>
        <w:tabs>
          <w:tab w:val="num" w:pos="5040"/>
        </w:tabs>
        <w:ind w:left="5040" w:hanging="360"/>
      </w:pPr>
      <w:rPr>
        <w:rFonts w:ascii="Wingdings" w:hAnsi="Wingdings" w:hint="default"/>
      </w:rPr>
    </w:lvl>
    <w:lvl w:ilvl="7" w:tplc="A03E03C0" w:tentative="1">
      <w:start w:val="1"/>
      <w:numFmt w:val="bullet"/>
      <w:lvlText w:val=""/>
      <w:lvlJc w:val="left"/>
      <w:pPr>
        <w:tabs>
          <w:tab w:val="num" w:pos="5760"/>
        </w:tabs>
        <w:ind w:left="5760" w:hanging="360"/>
      </w:pPr>
      <w:rPr>
        <w:rFonts w:ascii="Wingdings" w:hAnsi="Wingdings" w:hint="default"/>
      </w:rPr>
    </w:lvl>
    <w:lvl w:ilvl="8" w:tplc="3AECC51E" w:tentative="1">
      <w:start w:val="1"/>
      <w:numFmt w:val="bullet"/>
      <w:lvlText w:val=""/>
      <w:lvlJc w:val="left"/>
      <w:pPr>
        <w:tabs>
          <w:tab w:val="num" w:pos="6480"/>
        </w:tabs>
        <w:ind w:left="6480" w:hanging="360"/>
      </w:pPr>
      <w:rPr>
        <w:rFonts w:ascii="Wingdings" w:hAnsi="Wingdings" w:hint="default"/>
      </w:rPr>
    </w:lvl>
  </w:abstractNum>
  <w:abstractNum w:abstractNumId="2">
    <w:nsid w:val="63667B7C"/>
    <w:multiLevelType w:val="multilevel"/>
    <w:tmpl w:val="12360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7D05BC"/>
    <w:rsid w:val="0004073C"/>
    <w:rsid w:val="00084C5D"/>
    <w:rsid w:val="00096293"/>
    <w:rsid w:val="000A5B66"/>
    <w:rsid w:val="000C7074"/>
    <w:rsid w:val="000C7523"/>
    <w:rsid w:val="000D488B"/>
    <w:rsid w:val="000D52C4"/>
    <w:rsid w:val="000E0F27"/>
    <w:rsid w:val="000E2B7F"/>
    <w:rsid w:val="001A1612"/>
    <w:rsid w:val="001B1F55"/>
    <w:rsid w:val="002165FF"/>
    <w:rsid w:val="00220C3D"/>
    <w:rsid w:val="00231D18"/>
    <w:rsid w:val="00246360"/>
    <w:rsid w:val="0026374F"/>
    <w:rsid w:val="00295134"/>
    <w:rsid w:val="002B436A"/>
    <w:rsid w:val="00326A3D"/>
    <w:rsid w:val="00353E52"/>
    <w:rsid w:val="003A0EDF"/>
    <w:rsid w:val="003A2CCB"/>
    <w:rsid w:val="003B7A25"/>
    <w:rsid w:val="003E55DC"/>
    <w:rsid w:val="00434A6D"/>
    <w:rsid w:val="004566D9"/>
    <w:rsid w:val="00483125"/>
    <w:rsid w:val="004A2069"/>
    <w:rsid w:val="004A6473"/>
    <w:rsid w:val="004E44F9"/>
    <w:rsid w:val="00507070"/>
    <w:rsid w:val="005136C2"/>
    <w:rsid w:val="00530707"/>
    <w:rsid w:val="005948F7"/>
    <w:rsid w:val="005B0C93"/>
    <w:rsid w:val="00633473"/>
    <w:rsid w:val="006C4046"/>
    <w:rsid w:val="006F2D9D"/>
    <w:rsid w:val="00756E0A"/>
    <w:rsid w:val="007748B7"/>
    <w:rsid w:val="007D05BC"/>
    <w:rsid w:val="007D2414"/>
    <w:rsid w:val="007F162A"/>
    <w:rsid w:val="00814ED9"/>
    <w:rsid w:val="00831022"/>
    <w:rsid w:val="008744F2"/>
    <w:rsid w:val="008C0967"/>
    <w:rsid w:val="00937AE3"/>
    <w:rsid w:val="00945A41"/>
    <w:rsid w:val="00955AC9"/>
    <w:rsid w:val="009812F7"/>
    <w:rsid w:val="00A25F31"/>
    <w:rsid w:val="00A43E94"/>
    <w:rsid w:val="00A83BAA"/>
    <w:rsid w:val="00A86381"/>
    <w:rsid w:val="00AE6D59"/>
    <w:rsid w:val="00B411ED"/>
    <w:rsid w:val="00B65FB8"/>
    <w:rsid w:val="00B7129D"/>
    <w:rsid w:val="00B87DB4"/>
    <w:rsid w:val="00B9336E"/>
    <w:rsid w:val="00BD5165"/>
    <w:rsid w:val="00BD68D3"/>
    <w:rsid w:val="00BF20C2"/>
    <w:rsid w:val="00C20B3E"/>
    <w:rsid w:val="00C32EB8"/>
    <w:rsid w:val="00C57D34"/>
    <w:rsid w:val="00CB7341"/>
    <w:rsid w:val="00CC7F8F"/>
    <w:rsid w:val="00CE3B5B"/>
    <w:rsid w:val="00D32D87"/>
    <w:rsid w:val="00D559D1"/>
    <w:rsid w:val="00D55DAB"/>
    <w:rsid w:val="00D57E58"/>
    <w:rsid w:val="00D61D95"/>
    <w:rsid w:val="00D67B05"/>
    <w:rsid w:val="00D70517"/>
    <w:rsid w:val="00D90115"/>
    <w:rsid w:val="00DE19E5"/>
    <w:rsid w:val="00DE7D7E"/>
    <w:rsid w:val="00DF03B4"/>
    <w:rsid w:val="00E01C3B"/>
    <w:rsid w:val="00E44BC4"/>
    <w:rsid w:val="00EC12E1"/>
    <w:rsid w:val="00EC2143"/>
    <w:rsid w:val="00F20036"/>
    <w:rsid w:val="00F37C2A"/>
    <w:rsid w:val="00F903DB"/>
    <w:rsid w:val="00F9295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36E"/>
  </w:style>
  <w:style w:type="paragraph" w:styleId="Heading5">
    <w:name w:val="heading 5"/>
    <w:basedOn w:val="Normal"/>
    <w:link w:val="Heading5Char"/>
    <w:uiPriority w:val="9"/>
    <w:qFormat/>
    <w:rsid w:val="00530707"/>
    <w:pPr>
      <w:spacing w:before="100" w:beforeAutospacing="1" w:after="100" w:afterAutospacing="1" w:line="240" w:lineRule="auto"/>
      <w:outlineLvl w:val="4"/>
    </w:pPr>
    <w:rPr>
      <w:rFonts w:ascii="Times New Roman" w:eastAsia="Times New Roman" w:hAnsi="Times New Roman" w:cs="Times New Roman"/>
      <w:b/>
      <w:bCs/>
      <w:color w:val="555555"/>
      <w:sz w:val="17"/>
      <w:szCs w:val="1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05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5BC"/>
    <w:rPr>
      <w:rFonts w:ascii="Tahoma" w:hAnsi="Tahoma" w:cs="Tahoma"/>
      <w:sz w:val="16"/>
      <w:szCs w:val="16"/>
    </w:rPr>
  </w:style>
  <w:style w:type="table" w:styleId="TableGrid">
    <w:name w:val="Table Grid"/>
    <w:basedOn w:val="TableNormal"/>
    <w:uiPriority w:val="59"/>
    <w:rsid w:val="00D57E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084C5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F903D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903DB"/>
  </w:style>
  <w:style w:type="paragraph" w:styleId="Footer">
    <w:name w:val="footer"/>
    <w:basedOn w:val="Normal"/>
    <w:link w:val="FooterChar"/>
    <w:uiPriority w:val="99"/>
    <w:unhideWhenUsed/>
    <w:rsid w:val="00F903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03DB"/>
  </w:style>
  <w:style w:type="paragraph" w:styleId="ListParagraph">
    <w:name w:val="List Paragraph"/>
    <w:basedOn w:val="Normal"/>
    <w:uiPriority w:val="34"/>
    <w:qFormat/>
    <w:rsid w:val="00CB7341"/>
    <w:pPr>
      <w:spacing w:after="0" w:line="240" w:lineRule="auto"/>
      <w:ind w:left="720"/>
      <w:contextualSpacing/>
    </w:pPr>
    <w:rPr>
      <w:rFonts w:ascii="Times New Roman" w:eastAsia="Times New Roman" w:hAnsi="Times New Roman" w:cs="Times New Roman"/>
      <w:sz w:val="24"/>
      <w:szCs w:val="24"/>
      <w:lang w:eastAsia="en-GB"/>
    </w:rPr>
  </w:style>
  <w:style w:type="character" w:customStyle="1" w:styleId="Heading5Char">
    <w:name w:val="Heading 5 Char"/>
    <w:basedOn w:val="DefaultParagraphFont"/>
    <w:link w:val="Heading5"/>
    <w:uiPriority w:val="9"/>
    <w:rsid w:val="00530707"/>
    <w:rPr>
      <w:rFonts w:ascii="Times New Roman" w:eastAsia="Times New Roman" w:hAnsi="Times New Roman" w:cs="Times New Roman"/>
      <w:b/>
      <w:bCs/>
      <w:color w:val="555555"/>
      <w:sz w:val="17"/>
      <w:szCs w:val="17"/>
      <w:lang w:eastAsia="en-GB"/>
    </w:rPr>
  </w:style>
  <w:style w:type="character" w:styleId="Hyperlink">
    <w:name w:val="Hyperlink"/>
    <w:basedOn w:val="DefaultParagraphFont"/>
    <w:uiPriority w:val="99"/>
    <w:semiHidden/>
    <w:unhideWhenUsed/>
    <w:rsid w:val="00EC2143"/>
    <w:rPr>
      <w:color w:val="0000FF"/>
      <w:u w:val="single"/>
    </w:rPr>
  </w:style>
</w:styles>
</file>

<file path=word/webSettings.xml><?xml version="1.0" encoding="utf-8"?>
<w:webSettings xmlns:r="http://schemas.openxmlformats.org/officeDocument/2006/relationships" xmlns:w="http://schemas.openxmlformats.org/wordprocessingml/2006/main">
  <w:divs>
    <w:div w:id="360593092">
      <w:bodyDiv w:val="1"/>
      <w:marLeft w:val="0"/>
      <w:marRight w:val="0"/>
      <w:marTop w:val="0"/>
      <w:marBottom w:val="0"/>
      <w:divBdr>
        <w:top w:val="none" w:sz="0" w:space="0" w:color="auto"/>
        <w:left w:val="none" w:sz="0" w:space="0" w:color="auto"/>
        <w:bottom w:val="none" w:sz="0" w:space="0" w:color="auto"/>
        <w:right w:val="none" w:sz="0" w:space="0" w:color="auto"/>
      </w:divBdr>
    </w:div>
    <w:div w:id="828985719">
      <w:bodyDiv w:val="1"/>
      <w:marLeft w:val="0"/>
      <w:marRight w:val="0"/>
      <w:marTop w:val="0"/>
      <w:marBottom w:val="0"/>
      <w:divBdr>
        <w:top w:val="none" w:sz="0" w:space="0" w:color="auto"/>
        <w:left w:val="none" w:sz="0" w:space="0" w:color="auto"/>
        <w:bottom w:val="none" w:sz="0" w:space="0" w:color="auto"/>
        <w:right w:val="none" w:sz="0" w:space="0" w:color="auto"/>
      </w:divBdr>
      <w:divsChild>
        <w:div w:id="1571230499">
          <w:marLeft w:val="734"/>
          <w:marRight w:val="0"/>
          <w:marTop w:val="125"/>
          <w:marBottom w:val="0"/>
          <w:divBdr>
            <w:top w:val="none" w:sz="0" w:space="0" w:color="auto"/>
            <w:left w:val="none" w:sz="0" w:space="0" w:color="auto"/>
            <w:bottom w:val="none" w:sz="0" w:space="0" w:color="auto"/>
            <w:right w:val="none" w:sz="0" w:space="0" w:color="auto"/>
          </w:divBdr>
        </w:div>
      </w:divsChild>
    </w:div>
    <w:div w:id="916356287">
      <w:bodyDiv w:val="1"/>
      <w:marLeft w:val="0"/>
      <w:marRight w:val="0"/>
      <w:marTop w:val="0"/>
      <w:marBottom w:val="0"/>
      <w:divBdr>
        <w:top w:val="none" w:sz="0" w:space="0" w:color="auto"/>
        <w:left w:val="none" w:sz="0" w:space="0" w:color="auto"/>
        <w:bottom w:val="none" w:sz="0" w:space="0" w:color="auto"/>
        <w:right w:val="none" w:sz="0" w:space="0" w:color="auto"/>
      </w:divBdr>
      <w:divsChild>
        <w:div w:id="647246706">
          <w:marLeft w:val="0"/>
          <w:marRight w:val="0"/>
          <w:marTop w:val="0"/>
          <w:marBottom w:val="0"/>
          <w:divBdr>
            <w:top w:val="none" w:sz="0" w:space="0" w:color="auto"/>
            <w:left w:val="none" w:sz="0" w:space="0" w:color="auto"/>
            <w:bottom w:val="none" w:sz="0" w:space="0" w:color="auto"/>
            <w:right w:val="none" w:sz="0" w:space="0" w:color="auto"/>
          </w:divBdr>
          <w:divsChild>
            <w:div w:id="215433965">
              <w:marLeft w:val="0"/>
              <w:marRight w:val="0"/>
              <w:marTop w:val="0"/>
              <w:marBottom w:val="0"/>
              <w:divBdr>
                <w:top w:val="none" w:sz="0" w:space="0" w:color="auto"/>
                <w:left w:val="none" w:sz="0" w:space="0" w:color="auto"/>
                <w:bottom w:val="none" w:sz="0" w:space="0" w:color="auto"/>
                <w:right w:val="none" w:sz="0" w:space="0" w:color="auto"/>
              </w:divBdr>
              <w:divsChild>
                <w:div w:id="6209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052575">
      <w:bodyDiv w:val="1"/>
      <w:marLeft w:val="0"/>
      <w:marRight w:val="0"/>
      <w:marTop w:val="0"/>
      <w:marBottom w:val="0"/>
      <w:divBdr>
        <w:top w:val="none" w:sz="0" w:space="0" w:color="auto"/>
        <w:left w:val="none" w:sz="0" w:space="0" w:color="auto"/>
        <w:bottom w:val="none" w:sz="0" w:space="0" w:color="auto"/>
        <w:right w:val="none" w:sz="0" w:space="0" w:color="auto"/>
      </w:divBdr>
    </w:div>
    <w:div w:id="1666473428">
      <w:bodyDiv w:val="1"/>
      <w:marLeft w:val="0"/>
      <w:marRight w:val="0"/>
      <w:marTop w:val="0"/>
      <w:marBottom w:val="0"/>
      <w:divBdr>
        <w:top w:val="none" w:sz="0" w:space="0" w:color="auto"/>
        <w:left w:val="none" w:sz="0" w:space="0" w:color="auto"/>
        <w:bottom w:val="none" w:sz="0" w:space="0" w:color="auto"/>
        <w:right w:val="none" w:sz="0" w:space="0" w:color="auto"/>
      </w:divBdr>
      <w:divsChild>
        <w:div w:id="2010207871">
          <w:marLeft w:val="0"/>
          <w:marRight w:val="0"/>
          <w:marTop w:val="316"/>
          <w:marBottom w:val="0"/>
          <w:divBdr>
            <w:top w:val="none" w:sz="0" w:space="0" w:color="auto"/>
            <w:left w:val="none" w:sz="0" w:space="0" w:color="auto"/>
            <w:bottom w:val="none" w:sz="0" w:space="0" w:color="auto"/>
            <w:right w:val="none" w:sz="0" w:space="0" w:color="auto"/>
          </w:divBdr>
          <w:divsChild>
            <w:div w:id="1038120247">
              <w:marLeft w:val="0"/>
              <w:marRight w:val="0"/>
              <w:marTop w:val="316"/>
              <w:marBottom w:val="0"/>
              <w:divBdr>
                <w:top w:val="none" w:sz="0" w:space="0" w:color="auto"/>
                <w:left w:val="none" w:sz="0" w:space="0" w:color="auto"/>
                <w:bottom w:val="none" w:sz="0" w:space="0" w:color="auto"/>
                <w:right w:val="none" w:sz="0" w:space="0" w:color="auto"/>
              </w:divBdr>
            </w:div>
          </w:divsChild>
        </w:div>
      </w:divsChild>
    </w:div>
    <w:div w:id="1697073869">
      <w:bodyDiv w:val="1"/>
      <w:marLeft w:val="0"/>
      <w:marRight w:val="0"/>
      <w:marTop w:val="0"/>
      <w:marBottom w:val="0"/>
      <w:divBdr>
        <w:top w:val="none" w:sz="0" w:space="0" w:color="auto"/>
        <w:left w:val="none" w:sz="0" w:space="0" w:color="auto"/>
        <w:bottom w:val="none" w:sz="0" w:space="0" w:color="auto"/>
        <w:right w:val="none" w:sz="0" w:space="0" w:color="auto"/>
      </w:divBdr>
      <w:divsChild>
        <w:div w:id="1211262142">
          <w:marLeft w:val="547"/>
          <w:marRight w:val="0"/>
          <w:marTop w:val="0"/>
          <w:marBottom w:val="0"/>
          <w:divBdr>
            <w:top w:val="none" w:sz="0" w:space="0" w:color="auto"/>
            <w:left w:val="none" w:sz="0" w:space="0" w:color="auto"/>
            <w:bottom w:val="none" w:sz="0" w:space="0" w:color="auto"/>
            <w:right w:val="none" w:sz="0" w:space="0" w:color="auto"/>
          </w:divBdr>
        </w:div>
        <w:div w:id="1669214923">
          <w:marLeft w:val="547"/>
          <w:marRight w:val="0"/>
          <w:marTop w:val="0"/>
          <w:marBottom w:val="0"/>
          <w:divBdr>
            <w:top w:val="none" w:sz="0" w:space="0" w:color="auto"/>
            <w:left w:val="none" w:sz="0" w:space="0" w:color="auto"/>
            <w:bottom w:val="none" w:sz="0" w:space="0" w:color="auto"/>
            <w:right w:val="none" w:sz="0" w:space="0" w:color="auto"/>
          </w:divBdr>
        </w:div>
        <w:div w:id="656106805">
          <w:marLeft w:val="547"/>
          <w:marRight w:val="0"/>
          <w:marTop w:val="0"/>
          <w:marBottom w:val="0"/>
          <w:divBdr>
            <w:top w:val="none" w:sz="0" w:space="0" w:color="auto"/>
            <w:left w:val="none" w:sz="0" w:space="0" w:color="auto"/>
            <w:bottom w:val="none" w:sz="0" w:space="0" w:color="auto"/>
            <w:right w:val="none" w:sz="0" w:space="0" w:color="auto"/>
          </w:divBdr>
        </w:div>
        <w:div w:id="1068263198">
          <w:marLeft w:val="547"/>
          <w:marRight w:val="0"/>
          <w:marTop w:val="0"/>
          <w:marBottom w:val="0"/>
          <w:divBdr>
            <w:top w:val="none" w:sz="0" w:space="0" w:color="auto"/>
            <w:left w:val="none" w:sz="0" w:space="0" w:color="auto"/>
            <w:bottom w:val="none" w:sz="0" w:space="0" w:color="auto"/>
            <w:right w:val="none" w:sz="0" w:space="0" w:color="auto"/>
          </w:divBdr>
        </w:div>
        <w:div w:id="69426586">
          <w:marLeft w:val="547"/>
          <w:marRight w:val="0"/>
          <w:marTop w:val="0"/>
          <w:marBottom w:val="0"/>
          <w:divBdr>
            <w:top w:val="none" w:sz="0" w:space="0" w:color="auto"/>
            <w:left w:val="none" w:sz="0" w:space="0" w:color="auto"/>
            <w:bottom w:val="none" w:sz="0" w:space="0" w:color="auto"/>
            <w:right w:val="none" w:sz="0" w:space="0" w:color="auto"/>
          </w:divBdr>
        </w:div>
        <w:div w:id="208341468">
          <w:marLeft w:val="547"/>
          <w:marRight w:val="0"/>
          <w:marTop w:val="0"/>
          <w:marBottom w:val="0"/>
          <w:divBdr>
            <w:top w:val="none" w:sz="0" w:space="0" w:color="auto"/>
            <w:left w:val="none" w:sz="0" w:space="0" w:color="auto"/>
            <w:bottom w:val="none" w:sz="0" w:space="0" w:color="auto"/>
            <w:right w:val="none" w:sz="0" w:space="0" w:color="auto"/>
          </w:divBdr>
        </w:div>
        <w:div w:id="1499882480">
          <w:marLeft w:val="547"/>
          <w:marRight w:val="0"/>
          <w:marTop w:val="0"/>
          <w:marBottom w:val="0"/>
          <w:divBdr>
            <w:top w:val="none" w:sz="0" w:space="0" w:color="auto"/>
            <w:left w:val="none" w:sz="0" w:space="0" w:color="auto"/>
            <w:bottom w:val="none" w:sz="0" w:space="0" w:color="auto"/>
            <w:right w:val="none" w:sz="0" w:space="0" w:color="auto"/>
          </w:divBdr>
        </w:div>
        <w:div w:id="40790322">
          <w:marLeft w:val="547"/>
          <w:marRight w:val="0"/>
          <w:marTop w:val="0"/>
          <w:marBottom w:val="0"/>
          <w:divBdr>
            <w:top w:val="none" w:sz="0" w:space="0" w:color="auto"/>
            <w:left w:val="none" w:sz="0" w:space="0" w:color="auto"/>
            <w:bottom w:val="none" w:sz="0" w:space="0" w:color="auto"/>
            <w:right w:val="none" w:sz="0" w:space="0" w:color="auto"/>
          </w:divBdr>
        </w:div>
        <w:div w:id="1564758353">
          <w:marLeft w:val="547"/>
          <w:marRight w:val="0"/>
          <w:marTop w:val="0"/>
          <w:marBottom w:val="0"/>
          <w:divBdr>
            <w:top w:val="none" w:sz="0" w:space="0" w:color="auto"/>
            <w:left w:val="none" w:sz="0" w:space="0" w:color="auto"/>
            <w:bottom w:val="none" w:sz="0" w:space="0" w:color="auto"/>
            <w:right w:val="none" w:sz="0" w:space="0" w:color="auto"/>
          </w:divBdr>
        </w:div>
        <w:div w:id="514614178">
          <w:marLeft w:val="547"/>
          <w:marRight w:val="0"/>
          <w:marTop w:val="0"/>
          <w:marBottom w:val="0"/>
          <w:divBdr>
            <w:top w:val="none" w:sz="0" w:space="0" w:color="auto"/>
            <w:left w:val="none" w:sz="0" w:space="0" w:color="auto"/>
            <w:bottom w:val="none" w:sz="0" w:space="0" w:color="auto"/>
            <w:right w:val="none" w:sz="0" w:space="0" w:color="auto"/>
          </w:divBdr>
        </w:div>
        <w:div w:id="1917087684">
          <w:marLeft w:val="547"/>
          <w:marRight w:val="0"/>
          <w:marTop w:val="0"/>
          <w:marBottom w:val="0"/>
          <w:divBdr>
            <w:top w:val="none" w:sz="0" w:space="0" w:color="auto"/>
            <w:left w:val="none" w:sz="0" w:space="0" w:color="auto"/>
            <w:bottom w:val="none" w:sz="0" w:space="0" w:color="auto"/>
            <w:right w:val="none" w:sz="0" w:space="0" w:color="auto"/>
          </w:divBdr>
        </w:div>
        <w:div w:id="1531141793">
          <w:marLeft w:val="547"/>
          <w:marRight w:val="0"/>
          <w:marTop w:val="0"/>
          <w:marBottom w:val="0"/>
          <w:divBdr>
            <w:top w:val="none" w:sz="0" w:space="0" w:color="auto"/>
            <w:left w:val="none" w:sz="0" w:space="0" w:color="auto"/>
            <w:bottom w:val="none" w:sz="0" w:space="0" w:color="auto"/>
            <w:right w:val="none" w:sz="0" w:space="0" w:color="auto"/>
          </w:divBdr>
        </w:div>
        <w:div w:id="1825316759">
          <w:marLeft w:val="547"/>
          <w:marRight w:val="0"/>
          <w:marTop w:val="0"/>
          <w:marBottom w:val="0"/>
          <w:divBdr>
            <w:top w:val="none" w:sz="0" w:space="0" w:color="auto"/>
            <w:left w:val="none" w:sz="0" w:space="0" w:color="auto"/>
            <w:bottom w:val="none" w:sz="0" w:space="0" w:color="auto"/>
            <w:right w:val="none" w:sz="0" w:space="0" w:color="auto"/>
          </w:divBdr>
        </w:div>
        <w:div w:id="2110083667">
          <w:marLeft w:val="547"/>
          <w:marRight w:val="0"/>
          <w:marTop w:val="0"/>
          <w:marBottom w:val="0"/>
          <w:divBdr>
            <w:top w:val="none" w:sz="0" w:space="0" w:color="auto"/>
            <w:left w:val="none" w:sz="0" w:space="0" w:color="auto"/>
            <w:bottom w:val="none" w:sz="0" w:space="0" w:color="auto"/>
            <w:right w:val="none" w:sz="0" w:space="0" w:color="auto"/>
          </w:divBdr>
        </w:div>
        <w:div w:id="1658728513">
          <w:marLeft w:val="547"/>
          <w:marRight w:val="0"/>
          <w:marTop w:val="0"/>
          <w:marBottom w:val="0"/>
          <w:divBdr>
            <w:top w:val="none" w:sz="0" w:space="0" w:color="auto"/>
            <w:left w:val="none" w:sz="0" w:space="0" w:color="auto"/>
            <w:bottom w:val="none" w:sz="0" w:space="0" w:color="auto"/>
            <w:right w:val="none" w:sz="0" w:space="0" w:color="auto"/>
          </w:divBdr>
        </w:div>
        <w:div w:id="1300650340">
          <w:marLeft w:val="547"/>
          <w:marRight w:val="0"/>
          <w:marTop w:val="0"/>
          <w:marBottom w:val="0"/>
          <w:divBdr>
            <w:top w:val="none" w:sz="0" w:space="0" w:color="auto"/>
            <w:left w:val="none" w:sz="0" w:space="0" w:color="auto"/>
            <w:bottom w:val="none" w:sz="0" w:space="0" w:color="auto"/>
            <w:right w:val="none" w:sz="0" w:space="0" w:color="auto"/>
          </w:divBdr>
        </w:div>
        <w:div w:id="1535495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Data" Target="diagrams/data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microsoft.com/office/2007/relationships/diagramDrawing" Target="diagrams/drawing3.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Colors" Target="diagrams/colors3.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diagramQuickStyle" Target="diagrams/quickStyle3.xml"/><Relationship Id="rId10" Type="http://schemas.openxmlformats.org/officeDocument/2006/relationships/diagramLayout" Target="diagrams/layout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Layout" Target="diagrams/layout3.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CB6ED9-5A44-4603-B42D-A233F120BC2F}" type="doc">
      <dgm:prSet loTypeId="urn:microsoft.com/office/officeart/2005/8/layout/venn1" loCatId="relationship" qsTypeId="urn:microsoft.com/office/officeart/2005/8/quickstyle/simple1" qsCatId="simple" csTypeId="urn:microsoft.com/office/officeart/2005/8/colors/accent1_2" csCatId="accent1" phldr="1"/>
      <dgm:spPr/>
      <dgm:t>
        <a:bodyPr/>
        <a:lstStyle/>
        <a:p>
          <a:endParaRPr lang="en-GB"/>
        </a:p>
      </dgm:t>
    </dgm:pt>
    <dgm:pt modelId="{2BF7A070-1936-4FBC-BCD0-AF943039FB1D}">
      <dgm:prSet phldrT="[Text]"/>
      <dgm:spPr/>
      <dgm:t>
        <a:bodyPr/>
        <a:lstStyle/>
        <a:p>
          <a:r>
            <a:rPr lang="en-GB" dirty="0" smtClean="0"/>
            <a:t>National constitutions, laws and policies</a:t>
          </a:r>
          <a:endParaRPr lang="en-GB" dirty="0"/>
        </a:p>
      </dgm:t>
    </dgm:pt>
    <dgm:pt modelId="{E36A7737-C139-4EAD-B115-7A5D1B177D09}" type="parTrans" cxnId="{60ACB264-09AB-4A10-AF6D-8F21E95A81E6}">
      <dgm:prSet/>
      <dgm:spPr/>
      <dgm:t>
        <a:bodyPr/>
        <a:lstStyle/>
        <a:p>
          <a:endParaRPr lang="en-GB"/>
        </a:p>
      </dgm:t>
    </dgm:pt>
    <dgm:pt modelId="{752C7BAB-02DE-4F93-90E6-EA4C61BC8AD5}" type="sibTrans" cxnId="{60ACB264-09AB-4A10-AF6D-8F21E95A81E6}">
      <dgm:prSet/>
      <dgm:spPr/>
      <dgm:t>
        <a:bodyPr/>
        <a:lstStyle/>
        <a:p>
          <a:endParaRPr lang="en-GB"/>
        </a:p>
      </dgm:t>
    </dgm:pt>
    <dgm:pt modelId="{84A461DA-56F0-4FC4-8FEB-946C27C42011}">
      <dgm:prSet phldrT="[Text]" custT="1"/>
      <dgm:spPr/>
      <dgm:t>
        <a:bodyPr/>
        <a:lstStyle/>
        <a:p>
          <a:r>
            <a:rPr lang="en-GB" sz="1050" b="1" dirty="0" smtClean="0"/>
            <a:t>International Human Rights Law</a:t>
          </a:r>
          <a:endParaRPr lang="en-GB" sz="1050" b="1" dirty="0"/>
        </a:p>
      </dgm:t>
    </dgm:pt>
    <dgm:pt modelId="{89EFCB08-DEB7-42A2-9F37-D8E8E1270A50}" type="parTrans" cxnId="{2F8D3A87-6CCB-4B48-BAE1-E1E28344A88F}">
      <dgm:prSet/>
      <dgm:spPr/>
      <dgm:t>
        <a:bodyPr/>
        <a:lstStyle/>
        <a:p>
          <a:endParaRPr lang="en-GB"/>
        </a:p>
      </dgm:t>
    </dgm:pt>
    <dgm:pt modelId="{87EF9B99-673C-4A38-A5A5-DC99ED94FEE0}" type="sibTrans" cxnId="{2F8D3A87-6CCB-4B48-BAE1-E1E28344A88F}">
      <dgm:prSet/>
      <dgm:spPr/>
      <dgm:t>
        <a:bodyPr/>
        <a:lstStyle/>
        <a:p>
          <a:endParaRPr lang="en-GB"/>
        </a:p>
      </dgm:t>
    </dgm:pt>
    <dgm:pt modelId="{B4EFC41D-7CC2-4FA9-808B-F3286E49A98F}">
      <dgm:prSet phldrT="[Text]"/>
      <dgm:spPr/>
      <dgm:t>
        <a:bodyPr/>
        <a:lstStyle/>
        <a:p>
          <a:pPr marL="0" marR="0" indent="0" defTabSz="914400" eaLnBrk="1" fontAlgn="auto" latinLnBrk="0" hangingPunct="1">
            <a:lnSpc>
              <a:spcPct val="100000"/>
            </a:lnSpc>
            <a:spcBef>
              <a:spcPts val="0"/>
            </a:spcBef>
            <a:spcAft>
              <a:spcPts val="0"/>
            </a:spcAft>
            <a:buClrTx/>
            <a:buSzTx/>
            <a:buFontTx/>
            <a:buNone/>
            <a:tabLst/>
            <a:defRPr/>
          </a:pPr>
          <a:r>
            <a:rPr lang="en-GB" b="1" dirty="0" smtClean="0">
              <a:solidFill>
                <a:srgbClr val="0000FF"/>
              </a:solidFill>
            </a:rPr>
            <a:t>    </a:t>
          </a:r>
        </a:p>
        <a:p>
          <a:pPr marL="0" marR="0" indent="0" defTabSz="914400" eaLnBrk="1" fontAlgn="auto" latinLnBrk="0" hangingPunct="1">
            <a:lnSpc>
              <a:spcPct val="100000"/>
            </a:lnSpc>
            <a:spcBef>
              <a:spcPts val="0"/>
            </a:spcBef>
            <a:spcAft>
              <a:spcPts val="0"/>
            </a:spcAft>
            <a:buClrTx/>
            <a:buSzTx/>
            <a:buFontTx/>
            <a:buNone/>
            <a:tabLst/>
            <a:defRPr/>
          </a:pPr>
          <a:r>
            <a:rPr lang="en-GB" b="1" dirty="0" smtClean="0">
              <a:solidFill>
                <a:srgbClr val="0000FF"/>
              </a:solidFill>
            </a:rPr>
            <a:t>          CRC</a:t>
          </a:r>
        </a:p>
        <a:p>
          <a:pPr defTabSz="844550">
            <a:lnSpc>
              <a:spcPct val="90000"/>
            </a:lnSpc>
            <a:spcBef>
              <a:spcPct val="0"/>
            </a:spcBef>
            <a:spcAft>
              <a:spcPct val="35000"/>
            </a:spcAft>
          </a:pPr>
          <a:r>
            <a:rPr lang="en-GB" b="1" dirty="0" smtClean="0">
              <a:solidFill>
                <a:srgbClr val="0000FF"/>
              </a:solidFill>
            </a:rPr>
            <a:t> </a:t>
          </a:r>
          <a:endParaRPr lang="en-GB" b="1" dirty="0">
            <a:solidFill>
              <a:srgbClr val="0000FF"/>
            </a:solidFill>
          </a:endParaRPr>
        </a:p>
      </dgm:t>
    </dgm:pt>
    <dgm:pt modelId="{4BD8236F-043C-4EA8-BC84-B22C4CBC7591}" type="parTrans" cxnId="{431B7F6A-CD4C-48CB-8DCD-D6741FF9A4D7}">
      <dgm:prSet/>
      <dgm:spPr/>
      <dgm:t>
        <a:bodyPr/>
        <a:lstStyle/>
        <a:p>
          <a:endParaRPr lang="en-GB"/>
        </a:p>
      </dgm:t>
    </dgm:pt>
    <dgm:pt modelId="{42E467FD-AEF2-4619-8BA7-44CAF00C47D2}" type="sibTrans" cxnId="{431B7F6A-CD4C-48CB-8DCD-D6741FF9A4D7}">
      <dgm:prSet/>
      <dgm:spPr/>
      <dgm:t>
        <a:bodyPr/>
        <a:lstStyle/>
        <a:p>
          <a:endParaRPr lang="en-GB"/>
        </a:p>
      </dgm:t>
    </dgm:pt>
    <dgm:pt modelId="{6F934498-B4D1-4EAF-843E-DC842DF91F8D}">
      <dgm:prSet phldrT="[Text]"/>
      <dgm:spPr/>
      <dgm:t>
        <a:bodyPr/>
        <a:lstStyle/>
        <a:p>
          <a:r>
            <a:rPr lang="en-GB" dirty="0" smtClean="0"/>
            <a:t>Regional conventions – Africa, Americas, Europe</a:t>
          </a:r>
          <a:endParaRPr lang="en-GB" dirty="0"/>
        </a:p>
      </dgm:t>
    </dgm:pt>
    <dgm:pt modelId="{BA8118DC-0B0F-4F27-93B1-73006623A234}" type="parTrans" cxnId="{286C2FE9-FA8D-4852-863F-77C92C7213F7}">
      <dgm:prSet/>
      <dgm:spPr/>
      <dgm:t>
        <a:bodyPr/>
        <a:lstStyle/>
        <a:p>
          <a:endParaRPr lang="en-GB"/>
        </a:p>
      </dgm:t>
    </dgm:pt>
    <dgm:pt modelId="{B998A5B6-F8BF-4BDF-A84A-BDCBEE62A7C1}" type="sibTrans" cxnId="{286C2FE9-FA8D-4852-863F-77C92C7213F7}">
      <dgm:prSet/>
      <dgm:spPr/>
      <dgm:t>
        <a:bodyPr/>
        <a:lstStyle/>
        <a:p>
          <a:endParaRPr lang="en-GB"/>
        </a:p>
      </dgm:t>
    </dgm:pt>
    <dgm:pt modelId="{ECE8C8B5-CB9A-40DA-9D84-E87D86667046}">
      <dgm:prSet phldrT="[Text]"/>
      <dgm:spPr/>
      <dgm:t>
        <a:bodyPr/>
        <a:lstStyle/>
        <a:p>
          <a:r>
            <a:rPr lang="en-GB" dirty="0" smtClean="0"/>
            <a:t>International Humanitarian Law and ICC law</a:t>
          </a:r>
          <a:endParaRPr lang="en-GB" dirty="0"/>
        </a:p>
      </dgm:t>
    </dgm:pt>
    <dgm:pt modelId="{0FC2D08D-4316-490F-9771-E4F470F55675}" type="parTrans" cxnId="{50405BFF-8305-4905-94CD-B49210DD1193}">
      <dgm:prSet/>
      <dgm:spPr/>
      <dgm:t>
        <a:bodyPr/>
        <a:lstStyle/>
        <a:p>
          <a:endParaRPr lang="en-GB"/>
        </a:p>
      </dgm:t>
    </dgm:pt>
    <dgm:pt modelId="{7955B254-AC54-4B67-9973-99A29F97808B}" type="sibTrans" cxnId="{50405BFF-8305-4905-94CD-B49210DD1193}">
      <dgm:prSet/>
      <dgm:spPr/>
      <dgm:t>
        <a:bodyPr/>
        <a:lstStyle/>
        <a:p>
          <a:endParaRPr lang="en-GB"/>
        </a:p>
      </dgm:t>
    </dgm:pt>
    <dgm:pt modelId="{46928DB2-35FB-401B-9BFB-9CA94376647C}">
      <dgm:prSet phldrT="[Text]"/>
      <dgm:spPr/>
      <dgm:t>
        <a:bodyPr/>
        <a:lstStyle/>
        <a:p>
          <a:r>
            <a:rPr lang="en-GB" dirty="0" smtClean="0"/>
            <a:t>Refugee Law and IDP guiding principles</a:t>
          </a:r>
          <a:endParaRPr lang="en-GB" dirty="0"/>
        </a:p>
      </dgm:t>
    </dgm:pt>
    <dgm:pt modelId="{53730526-7923-4996-BB4A-178111F06AC9}" type="parTrans" cxnId="{C0BF33A1-4100-44B0-BAB4-55A7FDC3357B}">
      <dgm:prSet/>
      <dgm:spPr/>
      <dgm:t>
        <a:bodyPr/>
        <a:lstStyle/>
        <a:p>
          <a:endParaRPr lang="en-GB"/>
        </a:p>
      </dgm:t>
    </dgm:pt>
    <dgm:pt modelId="{A561E931-CADB-4460-800B-82184298418A}" type="sibTrans" cxnId="{C0BF33A1-4100-44B0-BAB4-55A7FDC3357B}">
      <dgm:prSet/>
      <dgm:spPr/>
      <dgm:t>
        <a:bodyPr/>
        <a:lstStyle/>
        <a:p>
          <a:endParaRPr lang="en-GB"/>
        </a:p>
      </dgm:t>
    </dgm:pt>
    <dgm:pt modelId="{2DE3468E-0B03-4670-B6C9-84EF41EF351F}" type="pres">
      <dgm:prSet presAssocID="{68CB6ED9-5A44-4603-B42D-A233F120BC2F}" presName="compositeShape" presStyleCnt="0">
        <dgm:presLayoutVars>
          <dgm:chMax val="7"/>
          <dgm:dir/>
          <dgm:resizeHandles val="exact"/>
        </dgm:presLayoutVars>
      </dgm:prSet>
      <dgm:spPr/>
      <dgm:t>
        <a:bodyPr/>
        <a:lstStyle/>
        <a:p>
          <a:endParaRPr lang="en-GB"/>
        </a:p>
      </dgm:t>
    </dgm:pt>
    <dgm:pt modelId="{DC123C10-AF55-4A1B-9655-5D2FEB2838B7}" type="pres">
      <dgm:prSet presAssocID="{2BF7A070-1936-4FBC-BCD0-AF943039FB1D}" presName="circ1" presStyleLbl="vennNode1" presStyleIdx="0" presStyleCnt="6" custScaleX="550289" custScaleY="48786" custLinFactNeighborX="35643" custLinFactNeighborY="-91533"/>
      <dgm:spPr/>
    </dgm:pt>
    <dgm:pt modelId="{9D4267DA-49A2-40F3-8417-D009907ECBC5}" type="pres">
      <dgm:prSet presAssocID="{2BF7A070-1936-4FBC-BCD0-AF943039FB1D}" presName="circ1Tx" presStyleLbl="revTx" presStyleIdx="0" presStyleCnt="0" custScaleX="428012">
        <dgm:presLayoutVars>
          <dgm:chMax val="0"/>
          <dgm:chPref val="0"/>
          <dgm:bulletEnabled val="1"/>
        </dgm:presLayoutVars>
      </dgm:prSet>
      <dgm:spPr/>
      <dgm:t>
        <a:bodyPr/>
        <a:lstStyle/>
        <a:p>
          <a:endParaRPr lang="en-GB"/>
        </a:p>
      </dgm:t>
    </dgm:pt>
    <dgm:pt modelId="{2F5522BE-7405-4E30-A2C7-ABFB0142315E}" type="pres">
      <dgm:prSet presAssocID="{6F934498-B4D1-4EAF-843E-DC842DF91F8D}" presName="circ2" presStyleLbl="vennNode1" presStyleIdx="1" presStyleCnt="6" custScaleX="552970" custScaleY="57483" custLinFactNeighborX="18943" custLinFactNeighborY="-42582"/>
      <dgm:spPr/>
      <dgm:t>
        <a:bodyPr/>
        <a:lstStyle/>
        <a:p>
          <a:endParaRPr lang="en-GB"/>
        </a:p>
      </dgm:t>
    </dgm:pt>
    <dgm:pt modelId="{2AAE2B69-0C60-4EA5-A445-B48B94247174}" type="pres">
      <dgm:prSet presAssocID="{6F934498-B4D1-4EAF-843E-DC842DF91F8D}" presName="circ2Tx" presStyleLbl="revTx" presStyleIdx="0" presStyleCnt="0" custScaleX="419244" custScaleY="77451" custLinFactNeighborX="-98091" custLinFactNeighborY="-2196">
        <dgm:presLayoutVars>
          <dgm:chMax val="0"/>
          <dgm:chPref val="0"/>
          <dgm:bulletEnabled val="1"/>
        </dgm:presLayoutVars>
      </dgm:prSet>
      <dgm:spPr/>
      <dgm:t>
        <a:bodyPr/>
        <a:lstStyle/>
        <a:p>
          <a:endParaRPr lang="en-GB"/>
        </a:p>
      </dgm:t>
    </dgm:pt>
    <dgm:pt modelId="{E2D76677-BFF5-46E3-8620-A530110924A3}" type="pres">
      <dgm:prSet presAssocID="{84A461DA-56F0-4FC4-8FEB-946C27C42011}" presName="circ3" presStyleLbl="vennNode1" presStyleIdx="2" presStyleCnt="6" custScaleX="255996" custScaleY="115072" custLinFactX="60540" custLinFactNeighborX="100000" custLinFactNeighborY="75193"/>
      <dgm:spPr>
        <a:solidFill>
          <a:schemeClr val="accent2">
            <a:lumMod val="60000"/>
            <a:lumOff val="40000"/>
            <a:alpha val="49000"/>
          </a:schemeClr>
        </a:solidFill>
      </dgm:spPr>
      <dgm:t>
        <a:bodyPr/>
        <a:lstStyle/>
        <a:p>
          <a:endParaRPr lang="en-GB"/>
        </a:p>
      </dgm:t>
    </dgm:pt>
    <dgm:pt modelId="{2A75487D-74E3-429C-9B97-2D560CA99993}" type="pres">
      <dgm:prSet presAssocID="{84A461DA-56F0-4FC4-8FEB-946C27C42011}" presName="circ3Tx" presStyleLbl="revTx" presStyleIdx="0" presStyleCnt="0" custScaleX="124110" custScaleY="157431" custLinFactX="-100000" custLinFactNeighborX="-103251" custLinFactNeighborY="11536">
        <dgm:presLayoutVars>
          <dgm:chMax val="0"/>
          <dgm:chPref val="0"/>
          <dgm:bulletEnabled val="1"/>
        </dgm:presLayoutVars>
      </dgm:prSet>
      <dgm:spPr/>
      <dgm:t>
        <a:bodyPr/>
        <a:lstStyle/>
        <a:p>
          <a:endParaRPr lang="en-GB"/>
        </a:p>
      </dgm:t>
    </dgm:pt>
    <dgm:pt modelId="{C5260CE2-02EB-4203-8828-612FE8C72560}" type="pres">
      <dgm:prSet presAssocID="{ECE8C8B5-CB9A-40DA-9D84-E87D86667046}" presName="circ4" presStyleLbl="vennNode1" presStyleIdx="3" presStyleCnt="6" custScaleX="568867" custScaleY="185823" custLinFactNeighborY="30393"/>
      <dgm:spPr>
        <a:solidFill>
          <a:schemeClr val="accent1">
            <a:hueOff val="0"/>
            <a:satOff val="0"/>
            <a:lumOff val="0"/>
            <a:alpha val="33000"/>
          </a:schemeClr>
        </a:solidFill>
        <a:ln>
          <a:noFill/>
        </a:ln>
      </dgm:spPr>
      <dgm:t>
        <a:bodyPr/>
        <a:lstStyle/>
        <a:p>
          <a:endParaRPr lang="en-GB"/>
        </a:p>
      </dgm:t>
    </dgm:pt>
    <dgm:pt modelId="{08DF9025-4B3E-4136-BD6F-BCF768C67F0D}" type="pres">
      <dgm:prSet presAssocID="{ECE8C8B5-CB9A-40DA-9D84-E87D86667046}" presName="circ4Tx" presStyleLbl="revTx" presStyleIdx="0" presStyleCnt="0" custScaleX="143366" custLinFactX="57228" custLinFactNeighborX="100000" custLinFactNeighborY="-47295">
        <dgm:presLayoutVars>
          <dgm:chMax val="0"/>
          <dgm:chPref val="0"/>
          <dgm:bulletEnabled val="1"/>
        </dgm:presLayoutVars>
      </dgm:prSet>
      <dgm:spPr/>
      <dgm:t>
        <a:bodyPr/>
        <a:lstStyle/>
        <a:p>
          <a:endParaRPr lang="en-GB"/>
        </a:p>
      </dgm:t>
    </dgm:pt>
    <dgm:pt modelId="{A46D0FF2-97D3-45BD-8228-1F547BC5DB21}" type="pres">
      <dgm:prSet presAssocID="{46928DB2-35FB-401B-9BFB-9CA94376647C}" presName="circ5" presStyleLbl="vennNode1" presStyleIdx="4" presStyleCnt="6" custScaleX="218974" custLinFactX="100000" custLinFactNeighborX="126642" custLinFactNeighborY="124"/>
      <dgm:spPr>
        <a:solidFill>
          <a:schemeClr val="accent2">
            <a:lumMod val="40000"/>
            <a:lumOff val="60000"/>
            <a:alpha val="50000"/>
          </a:schemeClr>
        </a:solidFill>
        <a:ln>
          <a:noFill/>
        </a:ln>
      </dgm:spPr>
      <dgm:t>
        <a:bodyPr/>
        <a:lstStyle/>
        <a:p>
          <a:endParaRPr lang="en-GB"/>
        </a:p>
      </dgm:t>
    </dgm:pt>
    <dgm:pt modelId="{F76046E7-B2EC-472C-B181-3626CCEF75AF}" type="pres">
      <dgm:prSet presAssocID="{46928DB2-35FB-401B-9BFB-9CA94376647C}" presName="circ5Tx" presStyleLbl="revTx" presStyleIdx="0" presStyleCnt="0" custScaleX="179234" custLinFactX="100000" custLinFactNeighborX="191239" custLinFactNeighborY="-38453">
        <dgm:presLayoutVars>
          <dgm:chMax val="0"/>
          <dgm:chPref val="0"/>
          <dgm:bulletEnabled val="1"/>
        </dgm:presLayoutVars>
      </dgm:prSet>
      <dgm:spPr/>
      <dgm:t>
        <a:bodyPr/>
        <a:lstStyle/>
        <a:p>
          <a:endParaRPr lang="en-GB"/>
        </a:p>
      </dgm:t>
    </dgm:pt>
    <dgm:pt modelId="{C5FAEA46-D95A-44D8-8011-61718F8107FE}" type="pres">
      <dgm:prSet presAssocID="{B4EFC41D-7CC2-4FA9-808B-F3286E49A98F}" presName="circ6" presStyleLbl="vennNode1" presStyleIdx="5" presStyleCnt="6" custScaleX="121230" custScaleY="113088" custLinFactX="28131" custLinFactNeighborX="100000" custLinFactNeighborY="78156"/>
      <dgm:spPr>
        <a:solidFill>
          <a:srgbClr val="FF0000">
            <a:alpha val="25000"/>
          </a:srgbClr>
        </a:solidFill>
        <a:ln>
          <a:noFill/>
        </a:ln>
      </dgm:spPr>
      <dgm:t>
        <a:bodyPr/>
        <a:lstStyle/>
        <a:p>
          <a:endParaRPr lang="en-GB"/>
        </a:p>
      </dgm:t>
    </dgm:pt>
    <dgm:pt modelId="{73C168B3-FA09-495F-8BCB-603717DFD52F}" type="pres">
      <dgm:prSet presAssocID="{B4EFC41D-7CC2-4FA9-808B-F3286E49A98F}" presName="circ6Tx" presStyleLbl="revTx" presStyleIdx="0" presStyleCnt="0" custLinFactX="92762" custLinFactY="33235" custLinFactNeighborX="100000" custLinFactNeighborY="100000">
        <dgm:presLayoutVars>
          <dgm:chMax val="0"/>
          <dgm:chPref val="0"/>
          <dgm:bulletEnabled val="1"/>
        </dgm:presLayoutVars>
      </dgm:prSet>
      <dgm:spPr/>
      <dgm:t>
        <a:bodyPr/>
        <a:lstStyle/>
        <a:p>
          <a:endParaRPr lang="en-GB"/>
        </a:p>
      </dgm:t>
    </dgm:pt>
  </dgm:ptLst>
  <dgm:cxnLst>
    <dgm:cxn modelId="{BB017C88-4B31-4DCE-8720-07DB9CACAF7F}" type="presOf" srcId="{ECE8C8B5-CB9A-40DA-9D84-E87D86667046}" destId="{08DF9025-4B3E-4136-BD6F-BCF768C67F0D}" srcOrd="0" destOrd="0" presId="urn:microsoft.com/office/officeart/2005/8/layout/venn1"/>
    <dgm:cxn modelId="{8E5F0902-EA47-4834-90D0-19E8E899B51A}" type="presOf" srcId="{84A461DA-56F0-4FC4-8FEB-946C27C42011}" destId="{2A75487D-74E3-429C-9B97-2D560CA99993}" srcOrd="0" destOrd="0" presId="urn:microsoft.com/office/officeart/2005/8/layout/venn1"/>
    <dgm:cxn modelId="{2FB7AB90-6E0C-4CDB-A012-130817AAA11A}" type="presOf" srcId="{6F934498-B4D1-4EAF-843E-DC842DF91F8D}" destId="{2AAE2B69-0C60-4EA5-A445-B48B94247174}" srcOrd="0" destOrd="0" presId="urn:microsoft.com/office/officeart/2005/8/layout/venn1"/>
    <dgm:cxn modelId="{431B7F6A-CD4C-48CB-8DCD-D6741FF9A4D7}" srcId="{68CB6ED9-5A44-4603-B42D-A233F120BC2F}" destId="{B4EFC41D-7CC2-4FA9-808B-F3286E49A98F}" srcOrd="5" destOrd="0" parTransId="{4BD8236F-043C-4EA8-BC84-B22C4CBC7591}" sibTransId="{42E467FD-AEF2-4619-8BA7-44CAF00C47D2}"/>
    <dgm:cxn modelId="{FA966294-F44A-447B-8037-F06F75BCD3DC}" type="presOf" srcId="{46928DB2-35FB-401B-9BFB-9CA94376647C}" destId="{F76046E7-B2EC-472C-B181-3626CCEF75AF}" srcOrd="0" destOrd="0" presId="urn:microsoft.com/office/officeart/2005/8/layout/venn1"/>
    <dgm:cxn modelId="{5443ECF9-FA38-4F17-A283-1537760DBDD7}" type="presOf" srcId="{2BF7A070-1936-4FBC-BCD0-AF943039FB1D}" destId="{9D4267DA-49A2-40F3-8417-D009907ECBC5}" srcOrd="0" destOrd="0" presId="urn:microsoft.com/office/officeart/2005/8/layout/venn1"/>
    <dgm:cxn modelId="{286C2FE9-FA8D-4852-863F-77C92C7213F7}" srcId="{68CB6ED9-5A44-4603-B42D-A233F120BC2F}" destId="{6F934498-B4D1-4EAF-843E-DC842DF91F8D}" srcOrd="1" destOrd="0" parTransId="{BA8118DC-0B0F-4F27-93B1-73006623A234}" sibTransId="{B998A5B6-F8BF-4BDF-A84A-BDCBEE62A7C1}"/>
    <dgm:cxn modelId="{60ACB264-09AB-4A10-AF6D-8F21E95A81E6}" srcId="{68CB6ED9-5A44-4603-B42D-A233F120BC2F}" destId="{2BF7A070-1936-4FBC-BCD0-AF943039FB1D}" srcOrd="0" destOrd="0" parTransId="{E36A7737-C139-4EAD-B115-7A5D1B177D09}" sibTransId="{752C7BAB-02DE-4F93-90E6-EA4C61BC8AD5}"/>
    <dgm:cxn modelId="{0A3E808A-DEEB-444C-B51B-5CA8DD29CB2F}" type="presOf" srcId="{B4EFC41D-7CC2-4FA9-808B-F3286E49A98F}" destId="{73C168B3-FA09-495F-8BCB-603717DFD52F}" srcOrd="0" destOrd="0" presId="urn:microsoft.com/office/officeart/2005/8/layout/venn1"/>
    <dgm:cxn modelId="{C0BF33A1-4100-44B0-BAB4-55A7FDC3357B}" srcId="{68CB6ED9-5A44-4603-B42D-A233F120BC2F}" destId="{46928DB2-35FB-401B-9BFB-9CA94376647C}" srcOrd="4" destOrd="0" parTransId="{53730526-7923-4996-BB4A-178111F06AC9}" sibTransId="{A561E931-CADB-4460-800B-82184298418A}"/>
    <dgm:cxn modelId="{2F8D3A87-6CCB-4B48-BAE1-E1E28344A88F}" srcId="{68CB6ED9-5A44-4603-B42D-A233F120BC2F}" destId="{84A461DA-56F0-4FC4-8FEB-946C27C42011}" srcOrd="2" destOrd="0" parTransId="{89EFCB08-DEB7-42A2-9F37-D8E8E1270A50}" sibTransId="{87EF9B99-673C-4A38-A5A5-DC99ED94FEE0}"/>
    <dgm:cxn modelId="{50405BFF-8305-4905-94CD-B49210DD1193}" srcId="{68CB6ED9-5A44-4603-B42D-A233F120BC2F}" destId="{ECE8C8B5-CB9A-40DA-9D84-E87D86667046}" srcOrd="3" destOrd="0" parTransId="{0FC2D08D-4316-490F-9771-E4F470F55675}" sibTransId="{7955B254-AC54-4B67-9973-99A29F97808B}"/>
    <dgm:cxn modelId="{EDD57E5B-5667-448E-B936-7FEFFD2D36E6}" type="presOf" srcId="{68CB6ED9-5A44-4603-B42D-A233F120BC2F}" destId="{2DE3468E-0B03-4670-B6C9-84EF41EF351F}" srcOrd="0" destOrd="0" presId="urn:microsoft.com/office/officeart/2005/8/layout/venn1"/>
    <dgm:cxn modelId="{40B82B8E-06A8-4B39-AF33-0A202801A441}" type="presParOf" srcId="{2DE3468E-0B03-4670-B6C9-84EF41EF351F}" destId="{DC123C10-AF55-4A1B-9655-5D2FEB2838B7}" srcOrd="0" destOrd="0" presId="urn:microsoft.com/office/officeart/2005/8/layout/venn1"/>
    <dgm:cxn modelId="{D755A5AE-19B1-47EA-9A82-C2BDF1FBD0A5}" type="presParOf" srcId="{2DE3468E-0B03-4670-B6C9-84EF41EF351F}" destId="{9D4267DA-49A2-40F3-8417-D009907ECBC5}" srcOrd="1" destOrd="0" presId="urn:microsoft.com/office/officeart/2005/8/layout/venn1"/>
    <dgm:cxn modelId="{A934D422-2C8A-496A-9154-C84060A28CCB}" type="presParOf" srcId="{2DE3468E-0B03-4670-B6C9-84EF41EF351F}" destId="{2F5522BE-7405-4E30-A2C7-ABFB0142315E}" srcOrd="2" destOrd="0" presId="urn:microsoft.com/office/officeart/2005/8/layout/venn1"/>
    <dgm:cxn modelId="{0564A307-4846-49A2-91DA-00CA3328E0C6}" type="presParOf" srcId="{2DE3468E-0B03-4670-B6C9-84EF41EF351F}" destId="{2AAE2B69-0C60-4EA5-A445-B48B94247174}" srcOrd="3" destOrd="0" presId="urn:microsoft.com/office/officeart/2005/8/layout/venn1"/>
    <dgm:cxn modelId="{B8AEDD0A-062D-47F0-9816-F420D7A0A465}" type="presParOf" srcId="{2DE3468E-0B03-4670-B6C9-84EF41EF351F}" destId="{E2D76677-BFF5-46E3-8620-A530110924A3}" srcOrd="4" destOrd="0" presId="urn:microsoft.com/office/officeart/2005/8/layout/venn1"/>
    <dgm:cxn modelId="{EDE9DD89-41DA-4F4A-A198-4A3B6F751EC4}" type="presParOf" srcId="{2DE3468E-0B03-4670-B6C9-84EF41EF351F}" destId="{2A75487D-74E3-429C-9B97-2D560CA99993}" srcOrd="5" destOrd="0" presId="urn:microsoft.com/office/officeart/2005/8/layout/venn1"/>
    <dgm:cxn modelId="{366775A1-4D55-4D81-B385-EF67323A0797}" type="presParOf" srcId="{2DE3468E-0B03-4670-B6C9-84EF41EF351F}" destId="{C5260CE2-02EB-4203-8828-612FE8C72560}" srcOrd="6" destOrd="0" presId="urn:microsoft.com/office/officeart/2005/8/layout/venn1"/>
    <dgm:cxn modelId="{17B02503-0E89-4A6C-B92C-B5F76F092B57}" type="presParOf" srcId="{2DE3468E-0B03-4670-B6C9-84EF41EF351F}" destId="{08DF9025-4B3E-4136-BD6F-BCF768C67F0D}" srcOrd="7" destOrd="0" presId="urn:microsoft.com/office/officeart/2005/8/layout/venn1"/>
    <dgm:cxn modelId="{D291A8D1-499B-4142-BF2C-6003D02CEEA4}" type="presParOf" srcId="{2DE3468E-0B03-4670-B6C9-84EF41EF351F}" destId="{A46D0FF2-97D3-45BD-8228-1F547BC5DB21}" srcOrd="8" destOrd="0" presId="urn:microsoft.com/office/officeart/2005/8/layout/venn1"/>
    <dgm:cxn modelId="{32B17AE3-8DEC-4B47-9F00-F6E55F665530}" type="presParOf" srcId="{2DE3468E-0B03-4670-B6C9-84EF41EF351F}" destId="{F76046E7-B2EC-472C-B181-3626CCEF75AF}" srcOrd="9" destOrd="0" presId="urn:microsoft.com/office/officeart/2005/8/layout/venn1"/>
    <dgm:cxn modelId="{F0709182-3EAA-488F-89BE-C5D34B91A98B}" type="presParOf" srcId="{2DE3468E-0B03-4670-B6C9-84EF41EF351F}" destId="{C5FAEA46-D95A-44D8-8011-61718F8107FE}" srcOrd="10" destOrd="0" presId="urn:microsoft.com/office/officeart/2005/8/layout/venn1"/>
    <dgm:cxn modelId="{4B58D42C-C544-4439-8C81-C8997D67EAB4}" type="presParOf" srcId="{2DE3468E-0B03-4670-B6C9-84EF41EF351F}" destId="{73C168B3-FA09-495F-8BCB-603717DFD52F}" srcOrd="11" destOrd="0" presId="urn:microsoft.com/office/officeart/2005/8/layout/venn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AFE198F-C330-4980-8357-8B98864365AB}" type="doc">
      <dgm:prSet loTypeId="urn:microsoft.com/office/officeart/2005/8/layout/venn1" loCatId="relationship" qsTypeId="urn:microsoft.com/office/officeart/2005/8/quickstyle/simple1" qsCatId="simple" csTypeId="urn:microsoft.com/office/officeart/2005/8/colors/accent1_2" csCatId="accent1" phldr="1"/>
      <dgm:spPr/>
      <dgm:t>
        <a:bodyPr/>
        <a:lstStyle/>
        <a:p>
          <a:endParaRPr lang="en-GB"/>
        </a:p>
      </dgm:t>
    </dgm:pt>
    <dgm:pt modelId="{88B94175-ED01-476E-B7DD-2FC519DC083A}">
      <dgm:prSet/>
      <dgm:spPr>
        <a:solidFill>
          <a:schemeClr val="accent1">
            <a:hueOff val="0"/>
            <a:satOff val="0"/>
            <a:lumOff val="0"/>
            <a:alpha val="14000"/>
          </a:schemeClr>
        </a:solidFill>
        <a:ln>
          <a:noFill/>
        </a:ln>
      </dgm:spPr>
      <dgm:t>
        <a:bodyPr/>
        <a:lstStyle/>
        <a:p>
          <a:pPr rtl="0"/>
          <a:r>
            <a:rPr lang="en-GB" dirty="0" smtClean="0"/>
            <a:t>UN Charter and Security Council </a:t>
          </a:r>
          <a:endParaRPr lang="en-GB" dirty="0"/>
        </a:p>
      </dgm:t>
    </dgm:pt>
    <dgm:pt modelId="{9BE20AD6-8711-4BC3-B469-E9763DCCE6DC}" type="parTrans" cxnId="{6AF0D032-97A3-4855-9B23-26C1AF40C655}">
      <dgm:prSet/>
      <dgm:spPr/>
      <dgm:t>
        <a:bodyPr/>
        <a:lstStyle/>
        <a:p>
          <a:endParaRPr lang="en-GB"/>
        </a:p>
      </dgm:t>
    </dgm:pt>
    <dgm:pt modelId="{4C6E39B2-8F9F-46C5-BD84-724B51471CA3}" type="sibTrans" cxnId="{6AF0D032-97A3-4855-9B23-26C1AF40C655}">
      <dgm:prSet/>
      <dgm:spPr/>
      <dgm:t>
        <a:bodyPr/>
        <a:lstStyle/>
        <a:p>
          <a:endParaRPr lang="en-GB"/>
        </a:p>
      </dgm:t>
    </dgm:pt>
    <dgm:pt modelId="{60893C2E-0BBA-4F73-81D3-F8B6CDFB485A}" type="pres">
      <dgm:prSet presAssocID="{8AFE198F-C330-4980-8357-8B98864365AB}" presName="compositeShape" presStyleCnt="0">
        <dgm:presLayoutVars>
          <dgm:chMax val="7"/>
          <dgm:dir/>
          <dgm:resizeHandles val="exact"/>
        </dgm:presLayoutVars>
      </dgm:prSet>
      <dgm:spPr/>
      <dgm:t>
        <a:bodyPr/>
        <a:lstStyle/>
        <a:p>
          <a:endParaRPr lang="en-GB"/>
        </a:p>
      </dgm:t>
    </dgm:pt>
    <dgm:pt modelId="{B45B02D7-F530-4E31-83A4-36D0F25028B3}" type="pres">
      <dgm:prSet presAssocID="{88B94175-ED01-476E-B7DD-2FC519DC083A}" presName="circ1TxSh" presStyleLbl="vennNode1" presStyleIdx="0" presStyleCnt="1" custScaleX="1087860" custScaleY="86378"/>
      <dgm:spPr/>
      <dgm:t>
        <a:bodyPr/>
        <a:lstStyle/>
        <a:p>
          <a:endParaRPr lang="en-GB"/>
        </a:p>
      </dgm:t>
    </dgm:pt>
  </dgm:ptLst>
  <dgm:cxnLst>
    <dgm:cxn modelId="{2A0F32C6-17C9-4009-A471-4C50500DD5AD}" type="presOf" srcId="{8AFE198F-C330-4980-8357-8B98864365AB}" destId="{60893C2E-0BBA-4F73-81D3-F8B6CDFB485A}" srcOrd="0" destOrd="0" presId="urn:microsoft.com/office/officeart/2005/8/layout/venn1"/>
    <dgm:cxn modelId="{6AF0D032-97A3-4855-9B23-26C1AF40C655}" srcId="{8AFE198F-C330-4980-8357-8B98864365AB}" destId="{88B94175-ED01-476E-B7DD-2FC519DC083A}" srcOrd="0" destOrd="0" parTransId="{9BE20AD6-8711-4BC3-B469-E9763DCCE6DC}" sibTransId="{4C6E39B2-8F9F-46C5-BD84-724B51471CA3}"/>
    <dgm:cxn modelId="{0654B2AA-7396-462E-A2C0-A741E473B71B}" type="presOf" srcId="{88B94175-ED01-476E-B7DD-2FC519DC083A}" destId="{B45B02D7-F530-4E31-83A4-36D0F25028B3}" srcOrd="0" destOrd="0" presId="urn:microsoft.com/office/officeart/2005/8/layout/venn1"/>
    <dgm:cxn modelId="{92FA0706-B1A4-4B6D-BF99-40165D710BDD}" type="presParOf" srcId="{60893C2E-0BBA-4F73-81D3-F8B6CDFB485A}" destId="{B45B02D7-F530-4E31-83A4-36D0F25028B3}" srcOrd="0" destOrd="0" presId="urn:microsoft.com/office/officeart/2005/8/layout/venn1"/>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AFE198F-C330-4980-8357-8B98864365AB}" type="doc">
      <dgm:prSet loTypeId="urn:microsoft.com/office/officeart/2005/8/layout/venn1" loCatId="relationship" qsTypeId="urn:microsoft.com/office/officeart/2005/8/quickstyle/simple1" qsCatId="simple" csTypeId="urn:microsoft.com/office/officeart/2005/8/colors/accent1_2" csCatId="accent1" phldr="1"/>
      <dgm:spPr/>
      <dgm:t>
        <a:bodyPr/>
        <a:lstStyle/>
        <a:p>
          <a:endParaRPr lang="en-GB"/>
        </a:p>
      </dgm:t>
    </dgm:pt>
    <dgm:pt modelId="{88B94175-ED01-476E-B7DD-2FC519DC083A}">
      <dgm:prSet/>
      <dgm:spPr>
        <a:solidFill>
          <a:schemeClr val="accent1">
            <a:hueOff val="0"/>
            <a:satOff val="0"/>
            <a:lumOff val="0"/>
            <a:alpha val="14000"/>
          </a:schemeClr>
        </a:solidFill>
        <a:ln>
          <a:noFill/>
        </a:ln>
      </dgm:spPr>
      <dgm:t>
        <a:bodyPr/>
        <a:lstStyle/>
        <a:p>
          <a:pPr rtl="0"/>
          <a:r>
            <a:rPr lang="en-GB" dirty="0" smtClean="0"/>
            <a:t>UN Charter and Security Council </a:t>
          </a:r>
          <a:endParaRPr lang="en-GB" dirty="0"/>
        </a:p>
      </dgm:t>
    </dgm:pt>
    <dgm:pt modelId="{9BE20AD6-8711-4BC3-B469-E9763DCCE6DC}" type="parTrans" cxnId="{6AF0D032-97A3-4855-9B23-26C1AF40C655}">
      <dgm:prSet/>
      <dgm:spPr/>
      <dgm:t>
        <a:bodyPr/>
        <a:lstStyle/>
        <a:p>
          <a:endParaRPr lang="en-GB"/>
        </a:p>
      </dgm:t>
    </dgm:pt>
    <dgm:pt modelId="{4C6E39B2-8F9F-46C5-BD84-724B51471CA3}" type="sibTrans" cxnId="{6AF0D032-97A3-4855-9B23-26C1AF40C655}">
      <dgm:prSet/>
      <dgm:spPr/>
      <dgm:t>
        <a:bodyPr/>
        <a:lstStyle/>
        <a:p>
          <a:endParaRPr lang="en-GB"/>
        </a:p>
      </dgm:t>
    </dgm:pt>
    <dgm:pt modelId="{60893C2E-0BBA-4F73-81D3-F8B6CDFB485A}" type="pres">
      <dgm:prSet presAssocID="{8AFE198F-C330-4980-8357-8B98864365AB}" presName="compositeShape" presStyleCnt="0">
        <dgm:presLayoutVars>
          <dgm:chMax val="7"/>
          <dgm:dir/>
          <dgm:resizeHandles val="exact"/>
        </dgm:presLayoutVars>
      </dgm:prSet>
      <dgm:spPr/>
      <dgm:t>
        <a:bodyPr/>
        <a:lstStyle/>
        <a:p>
          <a:endParaRPr lang="en-GB"/>
        </a:p>
      </dgm:t>
    </dgm:pt>
    <dgm:pt modelId="{B45B02D7-F530-4E31-83A4-36D0F25028B3}" type="pres">
      <dgm:prSet presAssocID="{88B94175-ED01-476E-B7DD-2FC519DC083A}" presName="circ1TxSh" presStyleLbl="vennNode1" presStyleIdx="0" presStyleCnt="1" custScaleX="1087860" custScaleY="86378"/>
      <dgm:spPr/>
      <dgm:t>
        <a:bodyPr/>
        <a:lstStyle/>
        <a:p>
          <a:endParaRPr lang="en-GB"/>
        </a:p>
      </dgm:t>
    </dgm:pt>
  </dgm:ptLst>
  <dgm:cxnLst>
    <dgm:cxn modelId="{BD1A8F63-846E-4DFE-808C-7D398DECB43A}" type="presOf" srcId="{8AFE198F-C330-4980-8357-8B98864365AB}" destId="{60893C2E-0BBA-4F73-81D3-F8B6CDFB485A}" srcOrd="0" destOrd="0" presId="urn:microsoft.com/office/officeart/2005/8/layout/venn1"/>
    <dgm:cxn modelId="{6AF0D032-97A3-4855-9B23-26C1AF40C655}" srcId="{8AFE198F-C330-4980-8357-8B98864365AB}" destId="{88B94175-ED01-476E-B7DD-2FC519DC083A}" srcOrd="0" destOrd="0" parTransId="{9BE20AD6-8711-4BC3-B469-E9763DCCE6DC}" sibTransId="{4C6E39B2-8F9F-46C5-BD84-724B51471CA3}"/>
    <dgm:cxn modelId="{6F2A38AE-6D2E-4FBF-8519-FBB97C1EF8BF}" type="presOf" srcId="{88B94175-ED01-476E-B7DD-2FC519DC083A}" destId="{B45B02D7-F530-4E31-83A4-36D0F25028B3}" srcOrd="0" destOrd="0" presId="urn:microsoft.com/office/officeart/2005/8/layout/venn1"/>
    <dgm:cxn modelId="{71B451F5-CB80-4353-A110-C13BCE30726E}" type="presParOf" srcId="{60893C2E-0BBA-4F73-81D3-F8B6CDFB485A}" destId="{B45B02D7-F530-4E31-83A4-36D0F25028B3}" srcOrd="0" destOrd="0" presId="urn:microsoft.com/office/officeart/2005/8/layout/venn1"/>
  </dgm:cxnLst>
  <dgm:bg/>
  <dgm:whole/>
  <dgm:extLst>
    <a:ext uri="http://schemas.microsoft.com/office/drawing/2008/diagram">
      <dsp:dataModelExt xmlns:dsp="http://schemas.microsoft.com/office/drawing/2008/diagram" xmlns="" relId="rId25"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C123C10-AF55-4A1B-9655-5D2FEB2838B7}">
      <dsp:nvSpPr>
        <dsp:cNvPr id="0" name=""/>
        <dsp:cNvSpPr/>
      </dsp:nvSpPr>
      <dsp:spPr>
        <a:xfrm>
          <a:off x="-119528" y="43634"/>
          <a:ext cx="2754480" cy="244199"/>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sp>
    <dsp:sp modelId="{9D4267DA-49A2-40F3-8417-D009907ECBC5}">
      <dsp:nvSpPr>
        <dsp:cNvPr id="0" name=""/>
        <dsp:cNvSpPr/>
      </dsp:nvSpPr>
      <dsp:spPr>
        <a:xfrm>
          <a:off x="-259713" y="0"/>
          <a:ext cx="2678026" cy="340842"/>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r>
            <a:rPr lang="en-GB" sz="600" kern="1200" dirty="0" smtClean="0"/>
            <a:t>National constitutions, laws and policies</a:t>
          </a:r>
          <a:endParaRPr lang="en-GB" sz="600" kern="1200" dirty="0"/>
        </a:p>
      </dsp:txBody>
      <dsp:txXfrm>
        <a:off x="-259713" y="0"/>
        <a:ext cx="2678026" cy="340842"/>
      </dsp:txXfrm>
    </dsp:sp>
    <dsp:sp modelId="{2F5522BE-7405-4E30-A2C7-ABFB0142315E}">
      <dsp:nvSpPr>
        <dsp:cNvPr id="0" name=""/>
        <dsp:cNvSpPr/>
      </dsp:nvSpPr>
      <dsp:spPr>
        <a:xfrm>
          <a:off x="-47360" y="360706"/>
          <a:ext cx="2767900" cy="287732"/>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sp>
    <dsp:sp modelId="{2AAE2B69-0C60-4EA5-A445-B48B94247174}">
      <dsp:nvSpPr>
        <dsp:cNvPr id="0" name=""/>
        <dsp:cNvSpPr/>
      </dsp:nvSpPr>
      <dsp:spPr>
        <a:xfrm>
          <a:off x="1073" y="358502"/>
          <a:ext cx="2485887" cy="289127"/>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r>
            <a:rPr lang="en-GB" sz="600" kern="1200" dirty="0" smtClean="0"/>
            <a:t>Regional conventions – Africa, Americas, Europe</a:t>
          </a:r>
          <a:endParaRPr lang="en-GB" sz="600" kern="1200" dirty="0"/>
        </a:p>
      </dsp:txBody>
      <dsp:txXfrm>
        <a:off x="1073" y="358502"/>
        <a:ext cx="2485887" cy="289127"/>
      </dsp:txXfrm>
    </dsp:sp>
    <dsp:sp modelId="{E2D76677-BFF5-46E3-8620-A530110924A3}">
      <dsp:nvSpPr>
        <dsp:cNvPr id="0" name=""/>
        <dsp:cNvSpPr/>
      </dsp:nvSpPr>
      <dsp:spPr>
        <a:xfrm>
          <a:off x="1404660" y="993725"/>
          <a:ext cx="1281392" cy="575994"/>
        </a:xfrm>
        <a:prstGeom prst="ellipse">
          <a:avLst/>
        </a:prstGeom>
        <a:solidFill>
          <a:schemeClr val="accent2">
            <a:lumMod val="60000"/>
            <a:lumOff val="40000"/>
            <a:alpha val="49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sp>
    <dsp:sp modelId="{2A75487D-74E3-429C-9B97-2D560CA99993}">
      <dsp:nvSpPr>
        <dsp:cNvPr id="0" name=""/>
        <dsp:cNvSpPr/>
      </dsp:nvSpPr>
      <dsp:spPr>
        <a:xfrm>
          <a:off x="252524" y="809661"/>
          <a:ext cx="735904" cy="656686"/>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en-GB" sz="1050" b="1" kern="1200" dirty="0" smtClean="0"/>
            <a:t>International Human Rights Law</a:t>
          </a:r>
          <a:endParaRPr lang="en-GB" sz="1050" b="1" kern="1200" dirty="0"/>
        </a:p>
      </dsp:txBody>
      <dsp:txXfrm>
        <a:off x="252524" y="809661"/>
        <a:ext cx="735904" cy="656686"/>
      </dsp:txXfrm>
    </dsp:sp>
    <dsp:sp modelId="{C5260CE2-02EB-4203-8828-612FE8C72560}">
      <dsp:nvSpPr>
        <dsp:cNvPr id="0" name=""/>
        <dsp:cNvSpPr/>
      </dsp:nvSpPr>
      <dsp:spPr>
        <a:xfrm>
          <a:off x="-344436" y="686380"/>
          <a:ext cx="2847473" cy="930140"/>
        </a:xfrm>
        <a:prstGeom prst="ellipse">
          <a:avLst/>
        </a:prstGeom>
        <a:solidFill>
          <a:schemeClr val="accent1">
            <a:hueOff val="0"/>
            <a:satOff val="0"/>
            <a:lumOff val="0"/>
            <a:alpha val="33000"/>
          </a:schemeClr>
        </a:solidFill>
        <a:ln w="25400" cap="flat" cmpd="sng" algn="ctr">
          <a:noFill/>
          <a:prstDash val="solid"/>
        </a:ln>
        <a:effectLst/>
      </dsp:spPr>
      <dsp:style>
        <a:lnRef idx="2">
          <a:scrgbClr r="0" g="0" b="0"/>
        </a:lnRef>
        <a:fillRef idx="1">
          <a:scrgbClr r="0" g="0" b="0"/>
        </a:fillRef>
        <a:effectRef idx="0">
          <a:scrgbClr r="0" g="0" b="0"/>
        </a:effectRef>
        <a:fontRef idx="minor">
          <a:schemeClr val="tx1"/>
        </a:fontRef>
      </dsp:style>
    </dsp:sp>
    <dsp:sp modelId="{08DF9025-4B3E-4136-BD6F-BCF768C67F0D}">
      <dsp:nvSpPr>
        <dsp:cNvPr id="0" name=""/>
        <dsp:cNvSpPr/>
      </dsp:nvSpPr>
      <dsp:spPr>
        <a:xfrm>
          <a:off x="1614546" y="1121015"/>
          <a:ext cx="897026" cy="340842"/>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r>
            <a:rPr lang="en-GB" sz="600" kern="1200" dirty="0" smtClean="0"/>
            <a:t>International Humanitarian Law and ICC law</a:t>
          </a:r>
          <a:endParaRPr lang="en-GB" sz="600" kern="1200" dirty="0"/>
        </a:p>
      </dsp:txBody>
      <dsp:txXfrm>
        <a:off x="1614546" y="1121015"/>
        <a:ext cx="897026" cy="340842"/>
      </dsp:txXfrm>
    </dsp:sp>
    <dsp:sp modelId="{A46D0FF2-97D3-45BD-8228-1F547BC5DB21}">
      <dsp:nvSpPr>
        <dsp:cNvPr id="0" name=""/>
        <dsp:cNvSpPr/>
      </dsp:nvSpPr>
      <dsp:spPr>
        <a:xfrm>
          <a:off x="1503250" y="655687"/>
          <a:ext cx="1096078" cy="500551"/>
        </a:xfrm>
        <a:prstGeom prst="ellipse">
          <a:avLst/>
        </a:prstGeom>
        <a:solidFill>
          <a:schemeClr val="accent2">
            <a:lumMod val="40000"/>
            <a:lumOff val="60000"/>
            <a:alpha val="50000"/>
          </a:schemeClr>
        </a:solidFill>
        <a:ln w="25400" cap="flat" cmpd="sng" algn="ctr">
          <a:noFill/>
          <a:prstDash val="solid"/>
        </a:ln>
        <a:effectLst/>
      </dsp:spPr>
      <dsp:style>
        <a:lnRef idx="2">
          <a:scrgbClr r="0" g="0" b="0"/>
        </a:lnRef>
        <a:fillRef idx="1">
          <a:scrgbClr r="0" g="0" b="0"/>
        </a:fillRef>
        <a:effectRef idx="0">
          <a:scrgbClr r="0" g="0" b="0"/>
        </a:effectRef>
        <a:fontRef idx="minor">
          <a:schemeClr val="tx1"/>
        </a:fontRef>
      </dsp:style>
    </dsp:sp>
    <dsp:sp modelId="{F76046E7-B2EC-472C-B181-3626CCEF75AF}">
      <dsp:nvSpPr>
        <dsp:cNvPr id="0" name=""/>
        <dsp:cNvSpPr/>
      </dsp:nvSpPr>
      <dsp:spPr>
        <a:xfrm>
          <a:off x="1528464" y="720923"/>
          <a:ext cx="1062759" cy="417126"/>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r>
            <a:rPr lang="en-GB" sz="600" kern="1200" dirty="0" smtClean="0"/>
            <a:t>Refugee Law and IDP guiding principles</a:t>
          </a:r>
          <a:endParaRPr lang="en-GB" sz="600" kern="1200" dirty="0"/>
        </a:p>
      </dsp:txBody>
      <dsp:txXfrm>
        <a:off x="1528464" y="720923"/>
        <a:ext cx="1062759" cy="417126"/>
      </dsp:txXfrm>
    </dsp:sp>
    <dsp:sp modelId="{C5FAEA46-D95A-44D8-8011-61718F8107FE}">
      <dsp:nvSpPr>
        <dsp:cNvPr id="0" name=""/>
        <dsp:cNvSpPr/>
      </dsp:nvSpPr>
      <dsp:spPr>
        <a:xfrm>
          <a:off x="1254781" y="825896"/>
          <a:ext cx="606818" cy="566063"/>
        </a:xfrm>
        <a:prstGeom prst="ellipse">
          <a:avLst/>
        </a:prstGeom>
        <a:solidFill>
          <a:srgbClr val="FF0000">
            <a:alpha val="25000"/>
          </a:srgbClr>
        </a:solidFill>
        <a:ln w="25400" cap="flat" cmpd="sng" algn="ctr">
          <a:noFill/>
          <a:prstDash val="solid"/>
        </a:ln>
        <a:effectLst/>
      </dsp:spPr>
      <dsp:style>
        <a:lnRef idx="2">
          <a:scrgbClr r="0" g="0" b="0"/>
        </a:lnRef>
        <a:fillRef idx="1">
          <a:scrgbClr r="0" g="0" b="0"/>
        </a:fillRef>
        <a:effectRef idx="0">
          <a:scrgbClr r="0" g="0" b="0"/>
        </a:effectRef>
        <a:fontRef idx="minor">
          <a:schemeClr val="tx1"/>
        </a:fontRef>
      </dsp:style>
    </dsp:sp>
    <dsp:sp modelId="{73C168B3-FA09-495F-8BCB-603717DFD52F}">
      <dsp:nvSpPr>
        <dsp:cNvPr id="0" name=""/>
        <dsp:cNvSpPr/>
      </dsp:nvSpPr>
      <dsp:spPr>
        <a:xfrm>
          <a:off x="1179456" y="880370"/>
          <a:ext cx="592945" cy="417126"/>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0" marR="0" lvl="0" indent="0" algn="ctr" defTabSz="914400" eaLnBrk="1" fontAlgn="auto" latinLnBrk="0" hangingPunct="1">
            <a:lnSpc>
              <a:spcPct val="100000"/>
            </a:lnSpc>
            <a:spcBef>
              <a:spcPct val="0"/>
            </a:spcBef>
            <a:spcAft>
              <a:spcPts val="0"/>
            </a:spcAft>
            <a:buClrTx/>
            <a:buSzTx/>
            <a:buFontTx/>
            <a:buNone/>
            <a:tabLst/>
            <a:defRPr/>
          </a:pPr>
          <a:r>
            <a:rPr lang="en-GB" sz="600" b="1" kern="1200" dirty="0" smtClean="0">
              <a:solidFill>
                <a:srgbClr val="0000FF"/>
              </a:solidFill>
            </a:rPr>
            <a:t>    </a:t>
          </a:r>
        </a:p>
        <a:p>
          <a:pPr marL="0" marR="0" lvl="0" indent="0" algn="ctr" defTabSz="914400" eaLnBrk="1" fontAlgn="auto" latinLnBrk="0" hangingPunct="1">
            <a:lnSpc>
              <a:spcPct val="100000"/>
            </a:lnSpc>
            <a:spcBef>
              <a:spcPct val="0"/>
            </a:spcBef>
            <a:spcAft>
              <a:spcPts val="0"/>
            </a:spcAft>
            <a:buClrTx/>
            <a:buSzTx/>
            <a:buFontTx/>
            <a:buNone/>
            <a:tabLst/>
            <a:defRPr/>
          </a:pPr>
          <a:r>
            <a:rPr lang="en-GB" sz="600" b="1" kern="1200" dirty="0" smtClean="0">
              <a:solidFill>
                <a:srgbClr val="0000FF"/>
              </a:solidFill>
            </a:rPr>
            <a:t>          CRC</a:t>
          </a:r>
        </a:p>
        <a:p>
          <a:pPr lvl="0" algn="ctr" defTabSz="844550">
            <a:lnSpc>
              <a:spcPct val="90000"/>
            </a:lnSpc>
            <a:spcBef>
              <a:spcPct val="0"/>
            </a:spcBef>
            <a:spcAft>
              <a:spcPct val="35000"/>
            </a:spcAft>
          </a:pPr>
          <a:r>
            <a:rPr lang="en-GB" sz="600" b="1" kern="1200" dirty="0" smtClean="0">
              <a:solidFill>
                <a:srgbClr val="0000FF"/>
              </a:solidFill>
            </a:rPr>
            <a:t> </a:t>
          </a:r>
          <a:endParaRPr lang="en-GB" sz="600" b="1" kern="1200" dirty="0">
            <a:solidFill>
              <a:srgbClr val="0000FF"/>
            </a:solidFill>
          </a:endParaRPr>
        </a:p>
      </dsp:txBody>
      <dsp:txXfrm>
        <a:off x="1179456" y="880370"/>
        <a:ext cx="592945" cy="417126"/>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45B02D7-F530-4E31-83A4-36D0F25028B3}">
      <dsp:nvSpPr>
        <dsp:cNvPr id="0" name=""/>
        <dsp:cNvSpPr/>
      </dsp:nvSpPr>
      <dsp:spPr>
        <a:xfrm>
          <a:off x="205983" y="8822"/>
          <a:ext cx="1409213" cy="111894"/>
        </a:xfrm>
        <a:prstGeom prst="ellipse">
          <a:avLst/>
        </a:prstGeom>
        <a:solidFill>
          <a:schemeClr val="accent1">
            <a:hueOff val="0"/>
            <a:satOff val="0"/>
            <a:lumOff val="0"/>
            <a:alpha val="14000"/>
          </a:schemeClr>
        </a:solidFill>
        <a:ln w="25400" cap="flat" cmpd="sng" algn="ctr">
          <a:no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222250" rtl="0">
            <a:lnSpc>
              <a:spcPct val="90000"/>
            </a:lnSpc>
            <a:spcBef>
              <a:spcPct val="0"/>
            </a:spcBef>
            <a:spcAft>
              <a:spcPct val="35000"/>
            </a:spcAft>
          </a:pPr>
          <a:r>
            <a:rPr lang="en-GB" sz="500" kern="1200" dirty="0" smtClean="0"/>
            <a:t>UN Charter and Security Council </a:t>
          </a:r>
          <a:endParaRPr lang="en-GB" sz="500" kern="1200" dirty="0"/>
        </a:p>
      </dsp:txBody>
      <dsp:txXfrm>
        <a:off x="205983" y="8822"/>
        <a:ext cx="1409213" cy="111894"/>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45B02D7-F530-4E31-83A4-36D0F25028B3}">
      <dsp:nvSpPr>
        <dsp:cNvPr id="0" name=""/>
        <dsp:cNvSpPr/>
      </dsp:nvSpPr>
      <dsp:spPr>
        <a:xfrm>
          <a:off x="277092" y="25155"/>
          <a:ext cx="4017815" cy="319021"/>
        </a:xfrm>
        <a:prstGeom prst="ellipse">
          <a:avLst/>
        </a:prstGeom>
        <a:solidFill>
          <a:schemeClr val="accent1">
            <a:hueOff val="0"/>
            <a:satOff val="0"/>
            <a:lumOff val="0"/>
            <a:alpha val="14000"/>
          </a:schemeClr>
        </a:solidFill>
        <a:ln w="25400" cap="flat" cmpd="sng" algn="ctr">
          <a:no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711200" rtl="0">
            <a:lnSpc>
              <a:spcPct val="90000"/>
            </a:lnSpc>
            <a:spcBef>
              <a:spcPct val="0"/>
            </a:spcBef>
            <a:spcAft>
              <a:spcPct val="35000"/>
            </a:spcAft>
          </a:pPr>
          <a:r>
            <a:rPr lang="en-GB" sz="1600" kern="1200" dirty="0" smtClean="0"/>
            <a:t>UN Charter and Security Council </a:t>
          </a:r>
          <a:endParaRPr lang="en-GB" sz="1600" kern="1200" dirty="0"/>
        </a:p>
      </dsp:txBody>
      <dsp:txXfrm>
        <a:off x="277092" y="25155"/>
        <a:ext cx="4017815" cy="319021"/>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78F72-8A5F-47C8-8EAE-DF8B4D546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2</Pages>
  <Words>1566</Words>
  <Characters>8930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ActionAid</Company>
  <LinksUpToDate>false</LinksUpToDate>
  <CharactersWithSpaces>10476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9</cp:revision>
  <cp:lastPrinted>2011-12-10T02:04:00Z</cp:lastPrinted>
  <dcterms:created xsi:type="dcterms:W3CDTF">2012-01-25T08:22:00Z</dcterms:created>
  <dcterms:modified xsi:type="dcterms:W3CDTF">2012-02-03T12:26:00Z</dcterms:modified>
</cp:coreProperties>
</file>