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Plan de Acción para el Bienestar Docente: </w:t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Muli" w:cs="Muli" w:eastAsia="Muli" w:hAnsi="Muli"/>
                <w:color w:val="24427b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24427b"/>
                <w:sz w:val="34"/>
                <w:szCs w:val="34"/>
                <w:rtl w:val="0"/>
              </w:rPr>
              <w:t xml:space="preserve">Ámbito 4 - Docentes y personal educativo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Norma(s):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Estrategias: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Teoría del cambio</w:t>
            </w:r>
          </w:p>
        </w:tc>
      </w:tr>
      <w:tr>
        <w:trPr>
          <w:cantSplit w:val="0"/>
          <w:trHeight w:val="972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Si...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Entonces...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Lo que llevará a...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Primer año &gt;  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Segundo año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Tercer año &gt;</w:t>
            </w:r>
          </w:p>
        </w:tc>
      </w:tr>
      <w:tr>
        <w:trPr>
          <w:cantSplit w:val="0"/>
          <w:trHeight w:val="456.6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Productos (a corto plazo)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(a medio plazo)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Impacto (a largo plazo)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(inicio e implementación)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(en escala)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(sostenibilidad)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(conexión y colaboración)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(coalición y compromiso)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(cohesión y coherencia)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9467850</wp:posOffset>
          </wp:positionH>
          <wp:positionV relativeFrom="paragraph">
            <wp:posOffset>-247647</wp:posOffset>
          </wp:positionV>
          <wp:extent cx="4395901" cy="600994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108" r="107" t="0"/>
                  <a:stretch>
                    <a:fillRect/>
                  </a:stretch>
                </pic:blipFill>
                <pic:spPr>
                  <a:xfrm>
                    <a:off x="0" y="0"/>
                    <a:ext cx="4395901" cy="60099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1QOOMrUhqjDrALq+oR5iJcbYiw==">CgMxLjA4AHIhMXdFdndfcm10WXV3Wks0ay1idTRKQkVHc2hkcU9EVDht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