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right="30"/>
        <w:jc w:val="both"/>
        <w:rPr>
          <w:rFonts w:ascii="Muli" w:cs="Muli" w:eastAsia="Muli" w:hAnsi="Muli"/>
          <w:i w:val="1"/>
          <w:highlight w:val="yellow"/>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Muli" w:cs="Muli" w:eastAsia="Muli" w:hAnsi="Muli"/>
          <w:b w:val="1"/>
          <w:sz w:val="28"/>
          <w:szCs w:val="28"/>
        </w:rPr>
      </w:pPr>
      <w:sdt>
        <w:sdtPr>
          <w:tag w:val="goog_rdk_0"/>
        </w:sdtPr>
        <w:sdtContent>
          <w:commentRangeStart w:id="0"/>
        </w:sdtContent>
      </w:sdt>
      <w:r w:rsidDel="00000000" w:rsidR="00000000" w:rsidRPr="00000000">
        <w:rPr>
          <w:rFonts w:ascii="Muli" w:cs="Muli" w:eastAsia="Muli" w:hAnsi="Muli"/>
          <w:b w:val="1"/>
          <w:sz w:val="28"/>
          <w:szCs w:val="28"/>
          <w:rtl w:val="0"/>
        </w:rPr>
        <w:t xml:space="preserve">Documento marco regional</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ind w:right="-990"/>
        <w:rPr>
          <w:rFonts w:ascii="Muli" w:cs="Muli" w:eastAsia="Muli" w:hAnsi="Muli"/>
          <w:b w:val="1"/>
        </w:rPr>
      </w:pPr>
      <w:r w:rsidDel="00000000" w:rsidR="00000000" w:rsidRPr="00000000">
        <w:rPr>
          <w:rtl w:val="0"/>
        </w:rPr>
      </w:r>
    </w:p>
    <w:p w:rsidR="00000000" w:rsidDel="00000000" w:rsidP="00000000" w:rsidRDefault="00000000" w:rsidRPr="00000000" w14:paraId="00000006">
      <w:pPr>
        <w:numPr>
          <w:ilvl w:val="0"/>
          <w:numId w:val="20"/>
        </w:numPr>
        <w:ind w:left="720" w:right="-990" w:hanging="360"/>
        <w:rPr/>
      </w:pPr>
      <w:r w:rsidDel="00000000" w:rsidR="00000000" w:rsidRPr="00000000">
        <w:rPr>
          <w:rFonts w:ascii="Muli" w:cs="Muli" w:eastAsia="Muli" w:hAnsi="Muli"/>
          <w:b w:val="1"/>
          <w:color w:val="1c4587"/>
          <w:sz w:val="24"/>
          <w:szCs w:val="24"/>
          <w:rtl w:val="0"/>
        </w:rPr>
        <w:t xml:space="preserve">El  Marco para el bienestar docente de</w:t>
      </w:r>
      <w:r w:rsidDel="00000000" w:rsidR="00000000" w:rsidRPr="00000000">
        <w:rPr>
          <w:rFonts w:ascii="Muli" w:cs="Muli" w:eastAsia="Muli" w:hAnsi="Muli"/>
          <w:b w:val="1"/>
          <w:color w:val="1c4587"/>
          <w:sz w:val="24"/>
          <w:szCs w:val="24"/>
          <w:highlight w:val="yellow"/>
          <w:rtl w:val="0"/>
        </w:rPr>
        <w:t xml:space="preserve"> [CONTEXTO]</w:t>
      </w:r>
      <w:r w:rsidDel="00000000" w:rsidR="00000000" w:rsidRPr="00000000">
        <w:rPr>
          <w:rtl w:val="0"/>
        </w:rPr>
      </w:r>
    </w:p>
    <w:p w:rsidR="00000000" w:rsidDel="00000000" w:rsidP="00000000" w:rsidRDefault="00000000" w:rsidRPr="00000000" w14:paraId="00000007">
      <w:pPr>
        <w:jc w:val="both"/>
        <w:rPr>
          <w:rFonts w:ascii="Muli" w:cs="Muli" w:eastAsia="Muli" w:hAnsi="Muli"/>
        </w:rPr>
      </w:pPr>
      <w:r w:rsidDel="00000000" w:rsidR="00000000" w:rsidRPr="00000000">
        <w:rPr>
          <w:rtl w:val="0"/>
        </w:rPr>
      </w:r>
    </w:p>
    <w:p w:rsidR="00000000" w:rsidDel="00000000" w:rsidP="00000000" w:rsidRDefault="00000000" w:rsidRPr="00000000" w14:paraId="00000008">
      <w:pPr>
        <w:ind w:left="0" w:firstLine="0"/>
        <w:jc w:val="both"/>
        <w:rPr>
          <w:rFonts w:ascii="Muli" w:cs="Muli" w:eastAsia="Muli" w:hAnsi="Muli"/>
        </w:rPr>
      </w:pPr>
      <w:r w:rsidDel="00000000" w:rsidR="00000000" w:rsidRPr="00000000">
        <w:rPr>
          <w:rFonts w:ascii="Muli" w:cs="Muli" w:eastAsia="Muli" w:hAnsi="Muli"/>
          <w:rtl w:val="0"/>
        </w:rPr>
        <w:t xml:space="preserve">El enfoque presentado a continuación es un primer paso en nuestro esfuerzo por mejorar el bienestar de los docentes en </w:t>
      </w:r>
      <w:r w:rsidDel="00000000" w:rsidR="00000000" w:rsidRPr="00000000">
        <w:rPr>
          <w:rFonts w:ascii="Muli" w:cs="Muli" w:eastAsia="Muli" w:hAnsi="Muli"/>
          <w:highlight w:val="yellow"/>
          <w:rtl w:val="0"/>
        </w:rPr>
        <w:t xml:space="preserve">[contexto]</w:t>
      </w:r>
      <w:r w:rsidDel="00000000" w:rsidR="00000000" w:rsidRPr="00000000">
        <w:rPr>
          <w:rFonts w:ascii="Muli" w:cs="Muli" w:eastAsia="Muli" w:hAnsi="Muli"/>
          <w:rtl w:val="0"/>
        </w:rPr>
        <w:t xml:space="preserve">. Es el resultado de un taller de dos días enfocado en los desafíos y barreras para la mejora del bienestar docente. En él documentamos la voz colectiva, las experiencias y las aspiraciones de docentes, responsables de centros educativos, profesionales y responsables políticos </w:t>
      </w:r>
      <w:r w:rsidDel="00000000" w:rsidR="00000000" w:rsidRPr="00000000">
        <w:rPr>
          <w:rFonts w:ascii="Muli" w:cs="Muli" w:eastAsia="Muli" w:hAnsi="Muli"/>
          <w:rtl w:val="0"/>
        </w:rPr>
        <w:t xml:space="preserve">de [</w:t>
      </w:r>
      <w:r w:rsidDel="00000000" w:rsidR="00000000" w:rsidRPr="00000000">
        <w:rPr>
          <w:rFonts w:ascii="Muli" w:cs="Muli" w:eastAsia="Muli" w:hAnsi="Muli"/>
          <w:highlight w:val="yellow"/>
          <w:rtl w:val="0"/>
        </w:rPr>
        <w:t xml:space="preserve">contexto</w:t>
      </w:r>
      <w:r w:rsidDel="00000000" w:rsidR="00000000" w:rsidRPr="00000000">
        <w:rPr>
          <w:rFonts w:ascii="Muli" w:cs="Muli" w:eastAsia="Muli" w:hAnsi="Muli"/>
          <w:rtl w:val="0"/>
        </w:rPr>
        <w:t xml:space="preserve">], y ofrecemos estándares y soluciones que pueden mejorar el bienestar de docentes y estudiantes por igual. </w:t>
      </w:r>
    </w:p>
    <w:p w:rsidR="00000000" w:rsidDel="00000000" w:rsidP="00000000" w:rsidRDefault="00000000" w:rsidRPr="00000000" w14:paraId="00000009">
      <w:pPr>
        <w:ind w:left="-990" w:right="-990" w:firstLine="0"/>
        <w:jc w:val="both"/>
        <w:rPr>
          <w:rFonts w:ascii="Muli" w:cs="Muli" w:eastAsia="Muli" w:hAnsi="Muli"/>
          <w:sz w:val="20"/>
          <w:szCs w:val="20"/>
        </w:rPr>
      </w:pPr>
      <w:r w:rsidDel="00000000" w:rsidR="00000000" w:rsidRPr="00000000">
        <w:rPr>
          <w:rtl w:val="0"/>
        </w:rPr>
      </w:r>
    </w:p>
    <w:p w:rsidR="00000000" w:rsidDel="00000000" w:rsidP="00000000" w:rsidRDefault="00000000" w:rsidRPr="00000000" w14:paraId="0000000A">
      <w:pPr>
        <w:numPr>
          <w:ilvl w:val="0"/>
          <w:numId w:val="20"/>
        </w:numPr>
        <w:ind w:left="720" w:right="-990" w:hanging="360"/>
        <w:jc w:val="both"/>
        <w:rPr/>
      </w:pPr>
      <w:r w:rsidDel="00000000" w:rsidR="00000000" w:rsidRPr="00000000">
        <w:rPr>
          <w:rFonts w:ascii="Muli" w:cs="Muli" w:eastAsia="Muli" w:hAnsi="Muli"/>
          <w:b w:val="1"/>
          <w:color w:val="1c4587"/>
          <w:sz w:val="24"/>
          <w:szCs w:val="24"/>
          <w:rtl w:val="0"/>
        </w:rPr>
        <w:t xml:space="preserve">El taller de contextualización regional, política y práctica </w:t>
      </w:r>
      <w:r w:rsidDel="00000000" w:rsidR="00000000" w:rsidRPr="00000000">
        <w:rPr>
          <w:rtl w:val="0"/>
        </w:rPr>
      </w:r>
    </w:p>
    <w:p w:rsidR="00000000" w:rsidDel="00000000" w:rsidP="00000000" w:rsidRDefault="00000000" w:rsidRPr="00000000" w14:paraId="0000000B">
      <w:pPr>
        <w:ind w:left="720" w:right="-990" w:firstLine="0"/>
        <w:jc w:val="both"/>
        <w:rPr>
          <w:rFonts w:ascii="Muli" w:cs="Muli" w:eastAsia="Muli" w:hAnsi="Muli"/>
          <w:b w:val="1"/>
          <w:color w:val="1c4587"/>
          <w:sz w:val="20"/>
          <w:szCs w:val="20"/>
        </w:rPr>
      </w:pPr>
      <w:r w:rsidDel="00000000" w:rsidR="00000000" w:rsidRPr="00000000">
        <w:rPr>
          <w:rtl w:val="0"/>
        </w:rPr>
      </w:r>
    </w:p>
    <w:p w:rsidR="00000000" w:rsidDel="00000000" w:rsidP="00000000" w:rsidRDefault="00000000" w:rsidRPr="00000000" w14:paraId="0000000C">
      <w:pPr>
        <w:ind w:left="-990" w:right="-990" w:firstLine="0"/>
        <w:jc w:val="both"/>
        <w:rPr>
          <w:rFonts w:ascii="Muli" w:cs="Muli" w:eastAsia="Muli" w:hAnsi="Muli"/>
          <w:b w:val="1"/>
          <w:color w:val="1c4587"/>
          <w:sz w:val="6"/>
          <w:szCs w:val="6"/>
        </w:rPr>
      </w:pPr>
      <w:r w:rsidDel="00000000" w:rsidR="00000000" w:rsidRPr="00000000">
        <w:rPr>
          <w:rtl w:val="0"/>
        </w:rPr>
      </w:r>
    </w:p>
    <w:p w:rsidR="00000000" w:rsidDel="00000000" w:rsidP="00000000" w:rsidRDefault="00000000" w:rsidRPr="00000000" w14:paraId="0000000D">
      <w:pPr>
        <w:ind w:left="0" w:firstLine="0"/>
        <w:jc w:val="both"/>
        <w:rPr>
          <w:rFonts w:ascii="Muli" w:cs="Muli" w:eastAsia="Muli" w:hAnsi="Muli"/>
        </w:rPr>
      </w:pPr>
      <w:bookmarkStart w:colFirst="0" w:colLast="0" w:name="_heading=h.gjdgxs" w:id="0"/>
      <w:bookmarkEnd w:id="0"/>
      <w:r w:rsidDel="00000000" w:rsidR="00000000" w:rsidRPr="00000000">
        <w:rPr>
          <w:rFonts w:ascii="Muli" w:cs="Muli" w:eastAsia="Muli" w:hAnsi="Muli"/>
          <w:rtl w:val="0"/>
        </w:rPr>
        <w:t xml:space="preserve">En 2019, la </w:t>
      </w:r>
      <w:hyperlink r:id="rId9">
        <w:r w:rsidDel="00000000" w:rsidR="00000000" w:rsidRPr="00000000">
          <w:rPr>
            <w:rFonts w:ascii="Muli" w:cs="Muli" w:eastAsia="Muli" w:hAnsi="Muli"/>
            <w:color w:val="1155cc"/>
            <w:u w:val="single"/>
            <w:rtl w:val="0"/>
          </w:rPr>
          <w:t xml:space="preserve">Revisión del Panorama sobre el Bienestar Docente</w:t>
        </w:r>
      </w:hyperlink>
      <w:r w:rsidDel="00000000" w:rsidR="00000000" w:rsidRPr="00000000">
        <w:rPr>
          <w:rFonts w:ascii="Muli" w:cs="Muli" w:eastAsia="Muli" w:hAnsi="Muli"/>
          <w:rtl w:val="0"/>
        </w:rPr>
        <w:t xml:space="preserve"> presentó un marco basado en investigaciones que permitió a la comunidad de la educación en situaciones de emergencia conceptualizar plenamente la importancia del bienestar docente en contextos de crisis. También puso de manifiesto hasta qué punto las necesidades de salud mental y bienestar de los propios docentes se habían pasado por alto y no se habían abordado lo suficiente en muchos de los entornos de crisis más desafiantes y prolongadas del mundo. A partir de esta publicación inicial, y con el generoso apoyo de Education Cannot Wait, la Red Interagencial para la Educación en Emergencias (INEE) redactó dos publicaciones que permitieron a la comunidad educativa en emergencias (a) conocer la disponibilidad de recursos y programas enfocados en el bienestar de los docentes; (b) comprender el grado en que estos recursos y programas eran (o no) representativos y apropiados para las realidades sociales, culturales y económicas de los docentes; y (c) proporcionar principios y recomendaciones claros, coherentes y factibles para mejorar el bienestar de los docentes en situaciones de emergencia. Estos documentos son el </w:t>
      </w:r>
      <w:hyperlink r:id="rId10">
        <w:r w:rsidDel="00000000" w:rsidR="00000000" w:rsidRPr="00000000">
          <w:rPr>
            <w:rFonts w:ascii="Muli" w:cs="Muli" w:eastAsia="Muli" w:hAnsi="Muli"/>
            <w:color w:val="1155cc"/>
            <w:u w:val="single"/>
            <w:rtl w:val="0"/>
          </w:rPr>
          <w:t xml:space="preserve">Mapeo y Análisis de Vacíos de Recursos de Bienestar Docente</w:t>
        </w:r>
      </w:hyperlink>
      <w:r w:rsidDel="00000000" w:rsidR="00000000" w:rsidRPr="00000000">
        <w:rPr>
          <w:rFonts w:ascii="Muli" w:cs="Muli" w:eastAsia="Muli" w:hAnsi="Muli"/>
          <w:rtl w:val="0"/>
        </w:rPr>
        <w:t xml:space="preserve"> y la </w:t>
      </w:r>
      <w:hyperlink r:id="rId11">
        <w:r w:rsidDel="00000000" w:rsidR="00000000" w:rsidRPr="00000000">
          <w:rPr>
            <w:rFonts w:ascii="Muli" w:cs="Muli" w:eastAsia="Muli" w:hAnsi="Muli"/>
            <w:color w:val="1155cc"/>
            <w:u w:val="single"/>
            <w:rtl w:val="0"/>
          </w:rPr>
          <w:t xml:space="preserve">Nota de orientación para el bienestar del docente en situaciones de emergencia</w:t>
        </w:r>
      </w:hyperlink>
      <w:r w:rsidDel="00000000" w:rsidR="00000000" w:rsidRPr="00000000">
        <w:rPr>
          <w:rFonts w:ascii="Muli" w:cs="Muli" w:eastAsia="Muli" w:hAnsi="Muli"/>
          <w:rtl w:val="0"/>
        </w:rPr>
        <w:t xml:space="preserve">.</w:t>
      </w:r>
    </w:p>
    <w:p w:rsidR="00000000" w:rsidDel="00000000" w:rsidP="00000000" w:rsidRDefault="00000000" w:rsidRPr="00000000" w14:paraId="0000000E">
      <w:pPr>
        <w:ind w:left="0" w:firstLine="0"/>
        <w:jc w:val="both"/>
        <w:rPr>
          <w:rFonts w:ascii="Muli" w:cs="Muli" w:eastAsia="Muli" w:hAnsi="Muli"/>
        </w:rPr>
      </w:pPr>
      <w:bookmarkStart w:colFirst="0" w:colLast="0" w:name="_heading=h.30j0zll" w:id="1"/>
      <w:bookmarkEnd w:id="1"/>
      <w:r w:rsidDel="00000000" w:rsidR="00000000" w:rsidRPr="00000000">
        <w:rPr>
          <w:rtl w:val="0"/>
        </w:rPr>
      </w:r>
    </w:p>
    <w:p w:rsidR="00000000" w:rsidDel="00000000" w:rsidP="00000000" w:rsidRDefault="00000000" w:rsidRPr="00000000" w14:paraId="0000000F">
      <w:pPr>
        <w:ind w:left="0" w:firstLine="0"/>
        <w:jc w:val="both"/>
        <w:rPr>
          <w:rFonts w:ascii="Muli" w:cs="Muli" w:eastAsia="Muli" w:hAnsi="Muli"/>
        </w:rPr>
      </w:pPr>
      <w:bookmarkStart w:colFirst="0" w:colLast="0" w:name="_heading=h.1fob9te" w:id="2"/>
      <w:bookmarkEnd w:id="2"/>
      <w:r w:rsidDel="00000000" w:rsidR="00000000" w:rsidRPr="00000000">
        <w:rPr>
          <w:rFonts w:ascii="Muli" w:cs="Muli" w:eastAsia="Muli" w:hAnsi="Muli"/>
          <w:rtl w:val="0"/>
        </w:rPr>
        <w:t xml:space="preserve">En </w:t>
      </w:r>
      <w:r w:rsidDel="00000000" w:rsidR="00000000" w:rsidRPr="00000000">
        <w:rPr>
          <w:rFonts w:ascii="Muli" w:cs="Muli" w:eastAsia="Muli" w:hAnsi="Muli"/>
          <w:highlight w:val="yellow"/>
          <w:rtl w:val="0"/>
        </w:rPr>
        <w:t xml:space="preserve">[FECHA]</w:t>
      </w:r>
      <w:r w:rsidDel="00000000" w:rsidR="00000000" w:rsidRPr="00000000">
        <w:rPr>
          <w:rFonts w:ascii="Muli" w:cs="Muli" w:eastAsia="Muli" w:hAnsi="Muli"/>
          <w:rtl w:val="0"/>
        </w:rPr>
        <w:t xml:space="preserve">, más de</w:t>
      </w:r>
      <w:r w:rsidDel="00000000" w:rsidR="00000000" w:rsidRPr="00000000">
        <w:rPr>
          <w:rFonts w:ascii="Muli" w:cs="Muli" w:eastAsia="Muli" w:hAnsi="Muli"/>
          <w:highlight w:val="yellow"/>
          <w:rtl w:val="0"/>
        </w:rPr>
        <w:t xml:space="preserve">[NÚMERO]</w:t>
      </w:r>
      <w:r w:rsidDel="00000000" w:rsidR="00000000" w:rsidRPr="00000000">
        <w:rPr>
          <w:rFonts w:ascii="Muli" w:cs="Muli" w:eastAsia="Muli" w:hAnsi="Muli"/>
          <w:rtl w:val="0"/>
        </w:rPr>
        <w:t xml:space="preserve"> representantes del gobierno, organismos de las Naciones Unidas, organizaciones no gubernamentales internacionales, organizaciones de la sociedad civil y centros educativos se reunieron en </w:t>
      </w:r>
      <w:r w:rsidDel="00000000" w:rsidR="00000000" w:rsidRPr="00000000">
        <w:rPr>
          <w:rFonts w:ascii="Muli" w:cs="Muli" w:eastAsia="Muli" w:hAnsi="Muli"/>
          <w:highlight w:val="yellow"/>
          <w:rtl w:val="0"/>
        </w:rPr>
        <w:t xml:space="preserve">[LUGAR]</w:t>
      </w:r>
      <w:r w:rsidDel="00000000" w:rsidR="00000000" w:rsidRPr="00000000">
        <w:rPr>
          <w:rFonts w:ascii="Muli" w:cs="Muli" w:eastAsia="Muli" w:hAnsi="Muli"/>
          <w:rtl w:val="0"/>
        </w:rPr>
        <w:t xml:space="preserve"> para asistir a un taller único sobre el bienestar docente, que fue facilitado en conjunto por </w:t>
      </w:r>
      <w:r w:rsidDel="00000000" w:rsidR="00000000" w:rsidRPr="00000000">
        <w:rPr>
          <w:rFonts w:ascii="Muli" w:cs="Muli" w:eastAsia="Muli" w:hAnsi="Muli"/>
          <w:highlight w:val="yellow"/>
          <w:rtl w:val="0"/>
        </w:rPr>
        <w:t xml:space="preserve">[ORGANIZADORES].</w:t>
      </w:r>
      <w:r w:rsidDel="00000000" w:rsidR="00000000" w:rsidRPr="00000000">
        <w:rPr>
          <w:rtl w:val="0"/>
        </w:rPr>
      </w:r>
    </w:p>
    <w:p w:rsidR="00000000" w:rsidDel="00000000" w:rsidP="00000000" w:rsidRDefault="00000000" w:rsidRPr="00000000" w14:paraId="00000010">
      <w:pPr>
        <w:ind w:left="0" w:firstLine="0"/>
        <w:jc w:val="both"/>
        <w:rPr>
          <w:rFonts w:ascii="Muli" w:cs="Muli" w:eastAsia="Muli" w:hAnsi="Muli"/>
        </w:rPr>
      </w:pPr>
      <w:bookmarkStart w:colFirst="0" w:colLast="0" w:name="_heading=h.3znysh7" w:id="3"/>
      <w:bookmarkEnd w:id="3"/>
      <w:r w:rsidDel="00000000" w:rsidR="00000000" w:rsidRPr="00000000">
        <w:rPr>
          <w:rtl w:val="0"/>
        </w:rPr>
      </w:r>
    </w:p>
    <w:p w:rsidR="00000000" w:rsidDel="00000000" w:rsidP="00000000" w:rsidRDefault="00000000" w:rsidRPr="00000000" w14:paraId="00000011">
      <w:pPr>
        <w:ind w:left="0" w:firstLine="0"/>
        <w:jc w:val="both"/>
        <w:rPr>
          <w:rFonts w:ascii="Muli" w:cs="Muli" w:eastAsia="Muli" w:hAnsi="Muli"/>
        </w:rPr>
      </w:pPr>
      <w:bookmarkStart w:colFirst="0" w:colLast="0" w:name="_heading=h.2et92p0" w:id="4"/>
      <w:bookmarkEnd w:id="4"/>
      <w:r w:rsidDel="00000000" w:rsidR="00000000" w:rsidRPr="00000000">
        <w:rPr>
          <w:rFonts w:ascii="Muli" w:cs="Muli" w:eastAsia="Muli" w:hAnsi="Muli"/>
          <w:rtl w:val="0"/>
        </w:rPr>
        <w:t xml:space="preserve">Este taller presentó a los participantes las publicaciones mencionadas anteriormente y les proporcionó el tiempo, el espacio y las conexiones personales para explorar y definir el concepto de bienestar docente en [contexto]: </w:t>
      </w:r>
    </w:p>
    <w:p w:rsidR="00000000" w:rsidDel="00000000" w:rsidP="00000000" w:rsidRDefault="00000000" w:rsidRPr="00000000" w14:paraId="00000012">
      <w:pPr>
        <w:numPr>
          <w:ilvl w:val="0"/>
          <w:numId w:val="16"/>
        </w:numPr>
        <w:ind w:left="720" w:hanging="360"/>
        <w:jc w:val="both"/>
        <w:rPr>
          <w:rFonts w:ascii="Muli" w:cs="Muli" w:eastAsia="Muli" w:hAnsi="Muli"/>
        </w:rPr>
      </w:pPr>
      <w:bookmarkStart w:colFirst="0" w:colLast="0" w:name="_heading=h.tyjcwt" w:id="5"/>
      <w:bookmarkEnd w:id="5"/>
      <w:r w:rsidDel="00000000" w:rsidR="00000000" w:rsidRPr="00000000">
        <w:rPr>
          <w:rFonts w:ascii="Muli" w:cs="Muli" w:eastAsia="Muli" w:hAnsi="Muli"/>
          <w:rtl w:val="0"/>
        </w:rPr>
        <w:t xml:space="preserve">Aprendieron sobre el bienestar docente y el análisis de vacíos, que identifica áreas prioritarias a la hora de desarrollar y aplicar enfoques basados en la cultura y el contexto que ayuden a elaborar políticas y prácticas de bienestar de los docentes. </w:t>
      </w:r>
    </w:p>
    <w:p w:rsidR="00000000" w:rsidDel="00000000" w:rsidP="00000000" w:rsidRDefault="00000000" w:rsidRPr="00000000" w14:paraId="00000013">
      <w:pPr>
        <w:numPr>
          <w:ilvl w:val="0"/>
          <w:numId w:val="16"/>
        </w:numPr>
        <w:ind w:left="720" w:hanging="360"/>
        <w:jc w:val="both"/>
        <w:rPr>
          <w:rFonts w:ascii="Muli" w:cs="Muli" w:eastAsia="Muli" w:hAnsi="Muli"/>
        </w:rPr>
      </w:pPr>
      <w:bookmarkStart w:colFirst="0" w:colLast="0" w:name="_heading=h.3dy6vkm" w:id="6"/>
      <w:bookmarkEnd w:id="6"/>
      <w:r w:rsidDel="00000000" w:rsidR="00000000" w:rsidRPr="00000000">
        <w:rPr>
          <w:rFonts w:ascii="Muli" w:cs="Muli" w:eastAsia="Muli" w:hAnsi="Muli"/>
          <w:rtl w:val="0"/>
        </w:rPr>
        <w:t xml:space="preserve">Trabajaron con otros participantes para aprender sobre los principios y áreas descritos en la </w:t>
      </w:r>
      <w:r w:rsidDel="00000000" w:rsidR="00000000" w:rsidRPr="00000000">
        <w:rPr>
          <w:rFonts w:ascii="Muli" w:cs="Muli" w:eastAsia="Muli" w:hAnsi="Muli"/>
          <w:sz w:val="22"/>
          <w:szCs w:val="22"/>
          <w:rtl w:val="0"/>
        </w:rPr>
        <w:t xml:space="preserve">Nota de orientación para el Bienestar Docente</w:t>
      </w:r>
      <w:r w:rsidDel="00000000" w:rsidR="00000000" w:rsidRPr="00000000">
        <w:rPr>
          <w:rFonts w:ascii="Muli" w:cs="Muli" w:eastAsia="Muli" w:hAnsi="Muli"/>
          <w:rtl w:val="0"/>
        </w:rPr>
        <w:t xml:space="preserve">, y para identificar, seleccionar y adaptar las recomendaciones prioritarias que mejor se adaptaran a sus propias realidades.</w:t>
      </w:r>
    </w:p>
    <w:p w:rsidR="00000000" w:rsidDel="00000000" w:rsidP="00000000" w:rsidRDefault="00000000" w:rsidRPr="00000000" w14:paraId="00000014">
      <w:pPr>
        <w:numPr>
          <w:ilvl w:val="0"/>
          <w:numId w:val="16"/>
        </w:numPr>
        <w:ind w:left="720" w:hanging="360"/>
        <w:jc w:val="both"/>
        <w:rPr>
          <w:rFonts w:ascii="Muli" w:cs="Muli" w:eastAsia="Muli" w:hAnsi="Muli"/>
        </w:rPr>
      </w:pPr>
      <w:bookmarkStart w:colFirst="0" w:colLast="0" w:name="_heading=h.1t3h5sf" w:id="7"/>
      <w:bookmarkEnd w:id="7"/>
      <w:r w:rsidDel="00000000" w:rsidR="00000000" w:rsidRPr="00000000">
        <w:rPr>
          <w:rFonts w:ascii="Muli" w:cs="Muli" w:eastAsia="Muli" w:hAnsi="Muli"/>
          <w:rtl w:val="0"/>
        </w:rPr>
        <w:t xml:space="preserve">Redactaron cuatro planes de acción específicos que representaban cada uno de los ámbitos de las Normas Mínimas de la INEE, y describieron las políticas, prácticas y partes interesadas que necesitan trabajar en conjunto para mejorar el bienestar docente en sus escuelas y comunidades.</w:t>
      </w:r>
    </w:p>
    <w:p w:rsidR="00000000" w:rsidDel="00000000" w:rsidP="00000000" w:rsidRDefault="00000000" w:rsidRPr="00000000" w14:paraId="00000015">
      <w:pPr>
        <w:ind w:left="720" w:firstLine="0"/>
        <w:jc w:val="both"/>
        <w:rPr>
          <w:rFonts w:ascii="Muli" w:cs="Muli" w:eastAsia="Muli" w:hAnsi="Muli"/>
        </w:rPr>
      </w:pPr>
      <w:r w:rsidDel="00000000" w:rsidR="00000000" w:rsidRPr="00000000">
        <w:rPr>
          <w:rtl w:val="0"/>
        </w:rPr>
      </w:r>
    </w:p>
    <w:p w:rsidR="00000000" w:rsidDel="00000000" w:rsidP="00000000" w:rsidRDefault="00000000" w:rsidRPr="00000000" w14:paraId="00000016">
      <w:pPr>
        <w:numPr>
          <w:ilvl w:val="0"/>
          <w:numId w:val="20"/>
        </w:numPr>
        <w:ind w:left="720" w:right="-990" w:hanging="360"/>
        <w:jc w:val="both"/>
        <w:rPr/>
      </w:pPr>
      <w:r w:rsidDel="00000000" w:rsidR="00000000" w:rsidRPr="00000000">
        <w:rPr>
          <w:rFonts w:ascii="Muli" w:cs="Muli" w:eastAsia="Muli" w:hAnsi="Muli"/>
          <w:b w:val="1"/>
          <w:color w:val="1c4587"/>
          <w:sz w:val="24"/>
          <w:szCs w:val="24"/>
          <w:rtl w:val="0"/>
        </w:rPr>
        <w:t xml:space="preserve">Cómo usar este documento</w:t>
      </w:r>
      <w:r w:rsidDel="00000000" w:rsidR="00000000" w:rsidRPr="00000000">
        <w:rPr>
          <w:rtl w:val="0"/>
        </w:rPr>
      </w:r>
    </w:p>
    <w:p w:rsidR="00000000" w:rsidDel="00000000" w:rsidP="00000000" w:rsidRDefault="00000000" w:rsidRPr="00000000" w14:paraId="00000017">
      <w:pPr>
        <w:ind w:left="-450" w:firstLine="0"/>
        <w:jc w:val="both"/>
        <w:rPr>
          <w:rFonts w:ascii="Muli" w:cs="Muli" w:eastAsia="Muli" w:hAnsi="Muli"/>
        </w:rPr>
      </w:pPr>
      <w:r w:rsidDel="00000000" w:rsidR="00000000" w:rsidRPr="00000000">
        <w:rPr>
          <w:rtl w:val="0"/>
        </w:rPr>
      </w:r>
    </w:p>
    <w:p w:rsidR="00000000" w:rsidDel="00000000" w:rsidP="00000000" w:rsidRDefault="00000000" w:rsidRPr="00000000" w14:paraId="00000018">
      <w:pPr>
        <w:ind w:left="0" w:firstLine="0"/>
        <w:jc w:val="both"/>
        <w:rPr>
          <w:rFonts w:ascii="Muli" w:cs="Muli" w:eastAsia="Muli" w:hAnsi="Muli"/>
        </w:rPr>
      </w:pPr>
      <w:bookmarkStart w:colFirst="0" w:colLast="0" w:name="_heading=h.4d34og8" w:id="8"/>
      <w:bookmarkEnd w:id="8"/>
      <w:r w:rsidDel="00000000" w:rsidR="00000000" w:rsidRPr="00000000">
        <w:rPr>
          <w:rFonts w:ascii="Muli" w:cs="Muli" w:eastAsia="Muli" w:hAnsi="Muli"/>
          <w:rtl w:val="0"/>
        </w:rPr>
        <w:t xml:space="preserve">Este documento esboza en primer lugar el marco conceptual para el bienestar docente, tal como lo contempla la </w:t>
      </w:r>
      <w:r w:rsidDel="00000000" w:rsidR="00000000" w:rsidRPr="00000000">
        <w:rPr>
          <w:rFonts w:ascii="Muli" w:cs="Muli" w:eastAsia="Muli" w:hAnsi="Muli"/>
          <w:sz w:val="22"/>
          <w:szCs w:val="22"/>
          <w:rtl w:val="0"/>
        </w:rPr>
        <w:t xml:space="preserve">Nota de orientación para el bienestar docente</w:t>
      </w:r>
      <w:r w:rsidDel="00000000" w:rsidR="00000000" w:rsidRPr="00000000">
        <w:rPr>
          <w:rFonts w:ascii="Muli" w:cs="Muli" w:eastAsia="Muli" w:hAnsi="Muli"/>
          <w:rtl w:val="0"/>
        </w:rPr>
        <w:t xml:space="preserve"> de la INEE. Este marco, cuyo objetivo es ayudar a transformar los debates y las recomendaciones del Taller sobre Bienestar Docente en políticas y programas viables en [contexto], incluye las estrategias y recomendaciones que los participantes en el taller identificaron como las prioridades más urgentes y viables para </w:t>
      </w:r>
      <w:r w:rsidDel="00000000" w:rsidR="00000000" w:rsidRPr="00000000">
        <w:rPr>
          <w:rFonts w:ascii="Muli" w:cs="Muli" w:eastAsia="Muli" w:hAnsi="Muli"/>
          <w:highlight w:val="yellow"/>
          <w:rtl w:val="0"/>
        </w:rPr>
        <w:t xml:space="preserve">[CONTEXTO]</w:t>
      </w:r>
      <w:r w:rsidDel="00000000" w:rsidR="00000000" w:rsidRPr="00000000">
        <w:rPr>
          <w:rFonts w:ascii="Muli" w:cs="Muli" w:eastAsia="Muli" w:hAnsi="Muli"/>
          <w:rtl w:val="0"/>
        </w:rPr>
        <w:t xml:space="preserve">. Debido a las limitaciones de tiempo durante el taller, los/as facilitadores/as han actualizado las recomendaciones recogidas mediante el proceso de planificación con más detalle, especificidad y claridad. </w:t>
      </w:r>
    </w:p>
    <w:p w:rsidR="00000000" w:rsidDel="00000000" w:rsidP="00000000" w:rsidRDefault="00000000" w:rsidRPr="00000000" w14:paraId="00000019">
      <w:pPr>
        <w:ind w:left="0" w:firstLine="0"/>
        <w:jc w:val="both"/>
        <w:rPr>
          <w:rFonts w:ascii="Muli" w:cs="Muli" w:eastAsia="Muli" w:hAnsi="Muli"/>
        </w:rPr>
      </w:pPr>
      <w:bookmarkStart w:colFirst="0" w:colLast="0" w:name="_heading=h.2s8eyo1" w:id="9"/>
      <w:bookmarkEnd w:id="9"/>
      <w:r w:rsidDel="00000000" w:rsidR="00000000" w:rsidRPr="00000000">
        <w:rPr>
          <w:rtl w:val="0"/>
        </w:rPr>
      </w:r>
    </w:p>
    <w:p w:rsidR="00000000" w:rsidDel="00000000" w:rsidP="00000000" w:rsidRDefault="00000000" w:rsidRPr="00000000" w14:paraId="0000001A">
      <w:pPr>
        <w:ind w:left="0" w:firstLine="0"/>
        <w:jc w:val="both"/>
        <w:rPr>
          <w:rFonts w:ascii="Muli" w:cs="Muli" w:eastAsia="Muli" w:hAnsi="Muli"/>
        </w:rPr>
      </w:pPr>
      <w:bookmarkStart w:colFirst="0" w:colLast="0" w:name="_heading=h.17dp8vu" w:id="10"/>
      <w:bookmarkEnd w:id="10"/>
      <w:r w:rsidDel="00000000" w:rsidR="00000000" w:rsidRPr="00000000">
        <w:rPr>
          <w:rFonts w:ascii="Muli" w:cs="Muli" w:eastAsia="Muli" w:hAnsi="Muli"/>
          <w:rtl w:val="0"/>
        </w:rPr>
        <w:t xml:space="preserve">Este documento está destinado a ser utilizado a nivel del Cluster de educación y el Ministerio de Educación. Debería ayudar a estructurar e informar los debates sobre políticas y programas y la planificación para la prestación de apoyo y servicios que mejoren el bienestar de los docentes en situaciones de emergencia.  </w:t>
      </w:r>
    </w:p>
    <w:p w:rsidR="00000000" w:rsidDel="00000000" w:rsidP="00000000" w:rsidRDefault="00000000" w:rsidRPr="00000000" w14:paraId="0000001B">
      <w:pPr>
        <w:ind w:left="0" w:firstLine="0"/>
        <w:jc w:val="both"/>
        <w:rPr>
          <w:rFonts w:ascii="Muli" w:cs="Muli" w:eastAsia="Muli" w:hAnsi="Muli"/>
        </w:rPr>
      </w:pPr>
      <w:bookmarkStart w:colFirst="0" w:colLast="0" w:name="_heading=h.9aom8q5o0fdy" w:id="11"/>
      <w:bookmarkEnd w:id="11"/>
      <w:r w:rsidDel="00000000" w:rsidR="00000000" w:rsidRPr="00000000">
        <w:br w:type="page"/>
      </w:r>
      <w:r w:rsidDel="00000000" w:rsidR="00000000" w:rsidRPr="00000000">
        <w:rPr>
          <w:rtl w:val="0"/>
        </w:rPr>
      </w:r>
    </w:p>
    <w:p w:rsidR="00000000" w:rsidDel="00000000" w:rsidP="00000000" w:rsidRDefault="00000000" w:rsidRPr="00000000" w14:paraId="0000001C">
      <w:pPr>
        <w:ind w:left="0" w:firstLine="0"/>
        <w:jc w:val="both"/>
        <w:rPr>
          <w:rFonts w:ascii="Muli" w:cs="Muli" w:eastAsia="Muli" w:hAnsi="Muli"/>
        </w:rPr>
      </w:pPr>
      <w:bookmarkStart w:colFirst="0" w:colLast="0" w:name="_heading=h.ysqst6rmvmb" w:id="12"/>
      <w:bookmarkEnd w:id="12"/>
      <w:r w:rsidDel="00000000" w:rsidR="00000000" w:rsidRPr="00000000">
        <w:rPr>
          <w:rtl w:val="0"/>
        </w:rPr>
      </w:r>
    </w:p>
    <w:p w:rsidR="00000000" w:rsidDel="00000000" w:rsidP="00000000" w:rsidRDefault="00000000" w:rsidRPr="00000000" w14:paraId="0000001D">
      <w:pPr>
        <w:numPr>
          <w:ilvl w:val="0"/>
          <w:numId w:val="20"/>
        </w:numPr>
        <w:ind w:left="720" w:right="-990" w:hanging="360"/>
        <w:rPr/>
      </w:pPr>
      <w:r w:rsidDel="00000000" w:rsidR="00000000" w:rsidRPr="00000000">
        <w:rPr>
          <w:rFonts w:ascii="Muli" w:cs="Muli" w:eastAsia="Muli" w:hAnsi="Muli"/>
          <w:b w:val="1"/>
          <w:color w:val="1c4587"/>
          <w:sz w:val="24"/>
          <w:szCs w:val="24"/>
          <w:rtl w:val="0"/>
        </w:rPr>
        <w:t xml:space="preserve">Marco conceptual: Bienestar docente en situaciones de emergencia</w:t>
      </w:r>
      <w:r w:rsidDel="00000000" w:rsidR="00000000" w:rsidRPr="00000000">
        <w:rPr>
          <w:rtl w:val="0"/>
        </w:rPr>
      </w:r>
    </w:p>
    <w:p w:rsidR="00000000" w:rsidDel="00000000" w:rsidP="00000000" w:rsidRDefault="00000000" w:rsidRPr="00000000" w14:paraId="0000001E">
      <w:pPr>
        <w:jc w:val="center"/>
        <w:rPr>
          <w:rFonts w:ascii="Muli" w:cs="Muli" w:eastAsia="Muli" w:hAnsi="Muli"/>
        </w:rPr>
      </w:pPr>
      <w:r w:rsidDel="00000000" w:rsidR="00000000" w:rsidRPr="00000000">
        <w:rPr>
          <w:rFonts w:ascii="Muli" w:cs="Muli" w:eastAsia="Muli" w:hAnsi="Muli"/>
          <w:b w:val="1"/>
          <w:i w:val="1"/>
          <w:color w:val="1c4587"/>
          <w:sz w:val="20"/>
          <w:szCs w:val="20"/>
        </w:rPr>
        <w:drawing>
          <wp:inline distB="114300" distT="114300" distL="114300" distR="114300">
            <wp:extent cx="4511242" cy="6513219"/>
            <wp:effectExtent b="0" l="0" r="0" t="0"/>
            <wp:docPr id="3"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4511242" cy="6513219"/>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rFonts w:ascii="Muli" w:cs="Muli" w:eastAsia="Muli" w:hAnsi="Muli"/>
        </w:rPr>
      </w:pPr>
      <w:r w:rsidDel="00000000" w:rsidR="00000000" w:rsidRPr="00000000">
        <w:rPr>
          <w:rFonts w:ascii="Muli" w:cs="Muli" w:eastAsia="Muli" w:hAnsi="Muli"/>
          <w:rtl w:val="0"/>
        </w:rPr>
        <w:t xml:space="preserve">Hemos diseñado este marco para construir un enfoque común, coherente y cohesionado para la planificación de las necesidades del bienestar docente en situaciones de emergencia a nivel local, nacional y global. En él describimos cómo diversas estrategias de respuesta educativa en situaciones de emergencia pueden priorizar las necesidades de bienestar de las y los docentes de la manera más efectiva. Como se muestra en el gráfico, el marco define en primer lugar tres principios del bienestar docente. Seguidamente describe los cinco ámbitos de las Normas mínimas de la INEE, dentro de los cuales hay una serie de normas que definen prioridades específicas del bienestar docente. Posteriormente clasifica estas prioridades en las tres fases de una emergencia</w:t>
      </w:r>
      <w:r w:rsidDel="00000000" w:rsidR="00000000" w:rsidRPr="00000000">
        <w:rPr>
          <w:rFonts w:ascii="Calibri" w:cs="Calibri" w:eastAsia="Calibri" w:hAnsi="Calibri"/>
          <w:rtl w:val="0"/>
        </w:rPr>
        <w:t xml:space="preserve">:</w:t>
      </w:r>
      <w:r w:rsidDel="00000000" w:rsidR="00000000" w:rsidRPr="00000000">
        <w:rPr>
          <w:rFonts w:ascii="Muli" w:cs="Muli" w:eastAsia="Muli" w:hAnsi="Muli"/>
          <w:rtl w:val="0"/>
        </w:rPr>
        <w:t xml:space="preserve"> preparación, respuesta y recuperación</w:t>
      </w:r>
      <w:r w:rsidDel="00000000" w:rsidR="00000000" w:rsidRPr="00000000">
        <w:rPr>
          <w:rFonts w:ascii="Calibri" w:cs="Calibri" w:eastAsia="Calibri" w:hAnsi="Calibri"/>
          <w:rtl w:val="0"/>
        </w:rPr>
        <w:t xml:space="preserve">,</w:t>
      </w:r>
      <w:r w:rsidDel="00000000" w:rsidR="00000000" w:rsidRPr="00000000">
        <w:rPr>
          <w:rFonts w:ascii="Muli" w:cs="Muli" w:eastAsia="Muli" w:hAnsi="Muli"/>
          <w:rtl w:val="0"/>
        </w:rPr>
        <w:t xml:space="preserve"> y muestra que el bienestar docente requiere un enfoque intersectorial que tenga en cuenta los múltiples actores.</w:t>
      </w:r>
    </w:p>
    <w:p w:rsidR="00000000" w:rsidDel="00000000" w:rsidP="00000000" w:rsidRDefault="00000000" w:rsidRPr="00000000" w14:paraId="00000020">
      <w:pPr>
        <w:jc w:val="both"/>
        <w:rPr>
          <w:rFonts w:ascii="Muli" w:cs="Muli" w:eastAsia="Muli" w:hAnsi="Muli"/>
        </w:rPr>
      </w:pPr>
      <w:r w:rsidDel="00000000" w:rsidR="00000000" w:rsidRPr="00000000">
        <w:rPr>
          <w:rtl w:val="0"/>
        </w:rPr>
      </w:r>
    </w:p>
    <w:p w:rsidR="00000000" w:rsidDel="00000000" w:rsidP="00000000" w:rsidRDefault="00000000" w:rsidRPr="00000000" w14:paraId="00000021">
      <w:pPr>
        <w:jc w:val="both"/>
        <w:rPr>
          <w:rFonts w:ascii="Muli" w:cs="Muli" w:eastAsia="Muli" w:hAnsi="Muli"/>
          <w:b w:val="1"/>
          <w:color w:val="1c4587"/>
          <w:sz w:val="20"/>
          <w:szCs w:val="20"/>
        </w:rPr>
      </w:pPr>
      <w:r w:rsidDel="00000000" w:rsidR="00000000" w:rsidRPr="00000000">
        <w:rPr>
          <w:rtl w:val="0"/>
        </w:rPr>
      </w:r>
    </w:p>
    <w:p w:rsidR="00000000" w:rsidDel="00000000" w:rsidP="00000000" w:rsidRDefault="00000000" w:rsidRPr="00000000" w14:paraId="00000022">
      <w:pPr>
        <w:numPr>
          <w:ilvl w:val="0"/>
          <w:numId w:val="20"/>
        </w:numPr>
        <w:ind w:left="720" w:right="30" w:hanging="360"/>
        <w:rPr>
          <w:rFonts w:ascii="Muli" w:cs="Muli" w:eastAsia="Muli" w:hAnsi="Muli"/>
        </w:rPr>
      </w:pPr>
      <w:r w:rsidDel="00000000" w:rsidR="00000000" w:rsidRPr="00000000">
        <w:rPr>
          <w:rFonts w:ascii="Muli" w:cs="Muli" w:eastAsia="Muli" w:hAnsi="Muli"/>
          <w:b w:val="1"/>
          <w:color w:val="1c4587"/>
          <w:sz w:val="24"/>
          <w:szCs w:val="24"/>
          <w:rtl w:val="0"/>
        </w:rPr>
        <w:t xml:space="preserve">Políticas y prácticas recomendadas para </w:t>
      </w:r>
      <w:r w:rsidDel="00000000" w:rsidR="00000000" w:rsidRPr="00000000">
        <w:rPr>
          <w:rFonts w:ascii="Muli" w:cs="Muli" w:eastAsia="Muli" w:hAnsi="Muli"/>
          <w:b w:val="1"/>
          <w:color w:val="1c4587"/>
          <w:sz w:val="24"/>
          <w:szCs w:val="24"/>
          <w:highlight w:val="yellow"/>
          <w:rtl w:val="0"/>
        </w:rPr>
        <w:t xml:space="preserve">[contexto]</w:t>
      </w:r>
      <w:r w:rsidDel="00000000" w:rsidR="00000000" w:rsidRPr="00000000">
        <w:rPr>
          <w:rtl w:val="0"/>
        </w:rPr>
      </w:r>
    </w:p>
    <w:tbl>
      <w:tblPr>
        <w:tblStyle w:val="Table1"/>
        <w:tblW w:w="9675.0" w:type="dxa"/>
        <w:jc w:val="left"/>
        <w:tblInd w:w="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2055"/>
        <w:gridCol w:w="2640"/>
        <w:gridCol w:w="2805"/>
        <w:tblGridChange w:id="0">
          <w:tblGrid>
            <w:gridCol w:w="2175"/>
            <w:gridCol w:w="2055"/>
            <w:gridCol w:w="2640"/>
            <w:gridCol w:w="2805"/>
          </w:tblGrid>
        </w:tblGridChange>
      </w:tblGrid>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23">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Estrategia seleccionada</w:t>
            </w:r>
          </w:p>
          <w:p w:rsidR="00000000" w:rsidDel="00000000" w:rsidP="00000000" w:rsidRDefault="00000000" w:rsidRPr="00000000" w14:paraId="00000024">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(Grupo 1)</w:t>
            </w:r>
          </w:p>
        </w:tc>
        <w:tc>
          <w:tcPr>
            <w:gridSpan w:val="3"/>
            <w:shd w:fill="1c4587" w:val="clear"/>
            <w:tcMar>
              <w:top w:w="100.0" w:type="dxa"/>
              <w:left w:w="100.0" w:type="dxa"/>
              <w:bottom w:w="100.0" w:type="dxa"/>
              <w:right w:w="100.0" w:type="dxa"/>
            </w:tcMar>
          </w:tcPr>
          <w:p w:rsidR="00000000" w:rsidDel="00000000" w:rsidP="00000000" w:rsidRDefault="00000000" w:rsidRPr="00000000" w14:paraId="00000025">
            <w:pPr>
              <w:widowControl w:val="0"/>
              <w:rPr>
                <w:rFonts w:ascii="Muli" w:cs="Muli" w:eastAsia="Muli" w:hAnsi="Muli"/>
                <w:color w:val="ffffff"/>
                <w:sz w:val="20"/>
                <w:szCs w:val="20"/>
              </w:rPr>
            </w:pPr>
            <w:r w:rsidDel="00000000" w:rsidR="00000000" w:rsidRPr="00000000">
              <w:rPr>
                <w:rtl w:val="0"/>
              </w:rPr>
            </w:r>
          </w:p>
          <w:p w:rsidR="00000000" w:rsidDel="00000000" w:rsidP="00000000" w:rsidRDefault="00000000" w:rsidRPr="00000000" w14:paraId="00000026">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29">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Principio(s)</w:t>
            </w:r>
          </w:p>
        </w:tc>
        <w:tc>
          <w:tcPr>
            <w:gridSpan w:val="3"/>
            <w:shd w:fill="auto" w:val="clear"/>
            <w:tcMar>
              <w:top w:w="100.0" w:type="dxa"/>
              <w:left w:w="100.0" w:type="dxa"/>
              <w:bottom w:w="100.0" w:type="dxa"/>
              <w:right w:w="100.0" w:type="dxa"/>
            </w:tcMar>
          </w:tcPr>
          <w:p w:rsidR="00000000" w:rsidDel="00000000" w:rsidP="00000000" w:rsidRDefault="00000000" w:rsidRPr="00000000" w14:paraId="0000002A">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2D">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Ámbito de las Normas Mínimas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02E">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Norma(s)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r>
      <w:tr>
        <w:trPr>
          <w:cantSplit w:val="0"/>
          <w:trHeight w:val="558"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Teoría del cambio</w:t>
            </w:r>
          </w:p>
        </w:tc>
        <w:tc>
          <w:tcPr>
            <w:shd w:fill="f3f3f3"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Si...</w:t>
            </w:r>
          </w:p>
        </w:tc>
        <w:tc>
          <w:tcPr>
            <w:shd w:fill="f3f3f3"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Entonces...</w:t>
            </w:r>
          </w:p>
        </w:tc>
        <w:tc>
          <w:tcPr>
            <w:shd w:fill="f3f3f3"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Lo que llevará a...</w:t>
            </w:r>
          </w:p>
        </w:tc>
      </w:tr>
      <w:tr>
        <w:trPr>
          <w:cantSplit w:val="0"/>
          <w:trHeight w:val="1791"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039">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A">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B">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C">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D">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E">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3F">
            <w:pPr>
              <w:widowControl w:val="0"/>
              <w:numPr>
                <w:ilvl w:val="0"/>
                <w:numId w:val="14"/>
              </w:numPr>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Insumos</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r>
      <w:tr>
        <w:trPr>
          <w:cantSplit w:val="0"/>
          <w:trHeight w:val="440"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sz w:val="20"/>
                <w:szCs w:val="20"/>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r>
      <w:tr>
        <w:trPr>
          <w:cantSplit w:val="0"/>
          <w:trHeight w:val="1349"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4B">
            <w:pPr>
              <w:widowControl w:val="0"/>
              <w:numPr>
                <w:ilvl w:val="0"/>
                <w:numId w:val="14"/>
              </w:numPr>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Productos</w:t>
            </w:r>
          </w:p>
          <w:p w:rsidR="00000000" w:rsidDel="00000000" w:rsidP="00000000" w:rsidRDefault="00000000" w:rsidRPr="00000000" w14:paraId="0000004C">
            <w:pPr>
              <w:widowControl w:val="0"/>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(corto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57">
            <w:pPr>
              <w:widowControl w:val="0"/>
              <w:numPr>
                <w:ilvl w:val="0"/>
                <w:numId w:val="12"/>
              </w:numPr>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Resultados</w:t>
            </w:r>
          </w:p>
          <w:p w:rsidR="00000000" w:rsidDel="00000000" w:rsidP="00000000" w:rsidRDefault="00000000" w:rsidRPr="00000000" w14:paraId="00000058">
            <w:pPr>
              <w:widowControl w:val="0"/>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(medio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59">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05A">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05B">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05C">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5D">
            <w:pPr>
              <w:widowControl w:val="0"/>
              <w:ind w:left="720" w:firstLine="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60">
            <w:pPr>
              <w:widowControl w:val="0"/>
              <w:numPr>
                <w:ilvl w:val="0"/>
                <w:numId w:val="17"/>
              </w:numPr>
              <w:ind w:left="45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Impacto</w:t>
            </w:r>
          </w:p>
          <w:p w:rsidR="00000000" w:rsidDel="00000000" w:rsidP="00000000" w:rsidRDefault="00000000" w:rsidRPr="00000000" w14:paraId="00000061">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 (largo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rPr>
                <w:rFonts w:ascii="Muli" w:cs="Muli" w:eastAsia="Muli" w:hAnsi="Muli"/>
                <w:sz w:val="20"/>
                <w:szCs w:val="20"/>
              </w:rPr>
            </w:pPr>
            <w:r w:rsidDel="00000000" w:rsidR="00000000" w:rsidRPr="00000000">
              <w:rPr>
                <w:rtl w:val="0"/>
              </w:rPr>
            </w:r>
          </w:p>
        </w:tc>
      </w:tr>
    </w:tbl>
    <w:p w:rsidR="00000000" w:rsidDel="00000000" w:rsidP="00000000" w:rsidRDefault="00000000" w:rsidRPr="00000000" w14:paraId="00000069">
      <w:pPr>
        <w:ind w:right="-990"/>
        <w:rPr>
          <w:rFonts w:ascii="Muli" w:cs="Muli" w:eastAsia="Muli" w:hAnsi="Muli"/>
          <w:b w:val="1"/>
          <w:color w:val="1c4587"/>
          <w:sz w:val="24"/>
          <w:szCs w:val="24"/>
        </w:rPr>
      </w:pPr>
      <w:r w:rsidDel="00000000" w:rsidR="00000000" w:rsidRPr="00000000">
        <w:rPr>
          <w:rtl w:val="0"/>
        </w:rPr>
      </w:r>
    </w:p>
    <w:tbl>
      <w:tblPr>
        <w:tblStyle w:val="Table2"/>
        <w:tblW w:w="9660.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2115"/>
        <w:gridCol w:w="2640"/>
        <w:gridCol w:w="2760"/>
        <w:tblGridChange w:id="0">
          <w:tblGrid>
            <w:gridCol w:w="2145"/>
            <w:gridCol w:w="2115"/>
            <w:gridCol w:w="2640"/>
            <w:gridCol w:w="2760"/>
          </w:tblGrid>
        </w:tblGridChange>
      </w:tblGrid>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6A">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Estrategia seleccionada</w:t>
            </w:r>
          </w:p>
          <w:p w:rsidR="00000000" w:rsidDel="00000000" w:rsidP="00000000" w:rsidRDefault="00000000" w:rsidRPr="00000000" w14:paraId="0000006B">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(Grupo 2)</w:t>
            </w:r>
          </w:p>
        </w:tc>
        <w:tc>
          <w:tcPr>
            <w:gridSpan w:val="3"/>
            <w:shd w:fill="1c4587" w:val="clear"/>
            <w:tcMar>
              <w:top w:w="100.0" w:type="dxa"/>
              <w:left w:w="100.0" w:type="dxa"/>
              <w:bottom w:w="100.0" w:type="dxa"/>
              <w:right w:w="100.0" w:type="dxa"/>
            </w:tcMar>
          </w:tcPr>
          <w:p w:rsidR="00000000" w:rsidDel="00000000" w:rsidP="00000000" w:rsidRDefault="00000000" w:rsidRPr="00000000" w14:paraId="0000006C">
            <w:pPr>
              <w:widowControl w:val="0"/>
              <w:rPr>
                <w:rFonts w:ascii="Muli" w:cs="Muli" w:eastAsia="Muli" w:hAnsi="Muli"/>
                <w:color w:val="ffffff"/>
                <w:sz w:val="4"/>
                <w:szCs w:val="4"/>
              </w:rPr>
            </w:pPr>
            <w:r w:rsidDel="00000000" w:rsidR="00000000" w:rsidRPr="00000000">
              <w:rPr>
                <w:rtl w:val="0"/>
              </w:rPr>
            </w:r>
          </w:p>
          <w:p w:rsidR="00000000" w:rsidDel="00000000" w:rsidP="00000000" w:rsidRDefault="00000000" w:rsidRPr="00000000" w14:paraId="0000006D">
            <w:pPr>
              <w:widowControl w:val="0"/>
              <w:rPr>
                <w:rFonts w:ascii="Muli" w:cs="Muli" w:eastAsia="Muli" w:hAnsi="Muli"/>
                <w:color w:val="ffffff"/>
                <w:sz w:val="20"/>
                <w:szCs w:val="20"/>
              </w:rPr>
            </w:pPr>
            <w:r w:rsidDel="00000000" w:rsidR="00000000" w:rsidRPr="00000000">
              <w:rPr>
                <w:rtl w:val="0"/>
              </w:rPr>
            </w:r>
          </w:p>
          <w:p w:rsidR="00000000" w:rsidDel="00000000" w:rsidP="00000000" w:rsidRDefault="00000000" w:rsidRPr="00000000" w14:paraId="0000006E">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71">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Principio(s)</w:t>
            </w:r>
          </w:p>
        </w:tc>
        <w:tc>
          <w:tcPr>
            <w:gridSpan w:val="3"/>
            <w:shd w:fill="auto" w:val="clear"/>
            <w:tcMar>
              <w:top w:w="100.0" w:type="dxa"/>
              <w:left w:w="100.0" w:type="dxa"/>
              <w:bottom w:w="100.0" w:type="dxa"/>
              <w:right w:w="100.0" w:type="dxa"/>
            </w:tcMar>
          </w:tcPr>
          <w:p w:rsidR="00000000" w:rsidDel="00000000" w:rsidP="00000000" w:rsidRDefault="00000000" w:rsidRPr="00000000" w14:paraId="00000072">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7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Ámbito de las Normas Mínimas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076">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79">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Norma(s)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07A">
            <w:pPr>
              <w:widowControl w:val="0"/>
              <w:rPr>
                <w:rFonts w:ascii="Muli" w:cs="Muli" w:eastAsia="Muli" w:hAnsi="Muli"/>
                <w:sz w:val="20"/>
                <w:szCs w:val="20"/>
              </w:rPr>
            </w:pPr>
            <w:r w:rsidDel="00000000" w:rsidR="00000000" w:rsidRPr="00000000">
              <w:rPr>
                <w:rtl w:val="0"/>
              </w:rPr>
            </w:r>
          </w:p>
        </w:tc>
      </w:tr>
      <w:tr>
        <w:trPr>
          <w:cantSplit w:val="0"/>
          <w:trHeight w:val="558"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7D">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Teoría del cambio</w:t>
            </w:r>
          </w:p>
        </w:tc>
        <w:tc>
          <w:tcPr>
            <w:shd w:fill="f3f3f3" w:val="clear"/>
            <w:tcMar>
              <w:top w:w="100.0" w:type="dxa"/>
              <w:left w:w="100.0" w:type="dxa"/>
              <w:bottom w:w="100.0" w:type="dxa"/>
              <w:right w:w="100.0" w:type="dxa"/>
            </w:tcMar>
          </w:tcPr>
          <w:p w:rsidR="00000000" w:rsidDel="00000000" w:rsidP="00000000" w:rsidRDefault="00000000" w:rsidRPr="00000000" w14:paraId="0000007E">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Si...</w:t>
            </w:r>
          </w:p>
        </w:tc>
        <w:tc>
          <w:tcPr>
            <w:shd w:fill="f3f3f3" w:val="clear"/>
            <w:tcMar>
              <w:top w:w="100.0" w:type="dxa"/>
              <w:left w:w="100.0" w:type="dxa"/>
              <w:bottom w:w="100.0" w:type="dxa"/>
              <w:right w:w="100.0" w:type="dxa"/>
            </w:tcMar>
          </w:tcPr>
          <w:p w:rsidR="00000000" w:rsidDel="00000000" w:rsidP="00000000" w:rsidRDefault="00000000" w:rsidRPr="00000000" w14:paraId="0000007F">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Entonces...</w:t>
            </w:r>
          </w:p>
        </w:tc>
        <w:tc>
          <w:tcPr>
            <w:shd w:fill="f3f3f3" w:val="clear"/>
            <w:tcMar>
              <w:top w:w="100.0" w:type="dxa"/>
              <w:left w:w="100.0" w:type="dxa"/>
              <w:bottom w:w="100.0" w:type="dxa"/>
              <w:right w:w="100.0" w:type="dxa"/>
            </w:tcMar>
          </w:tcPr>
          <w:p w:rsidR="00000000" w:rsidDel="00000000" w:rsidP="00000000" w:rsidRDefault="00000000" w:rsidRPr="00000000" w14:paraId="00000080">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Lo que llevará a...</w:t>
            </w:r>
          </w:p>
        </w:tc>
      </w:tr>
      <w:tr>
        <w:trPr>
          <w:cantSplit w:val="0"/>
          <w:trHeight w:val="440"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081">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82">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83">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84">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85">
            <w:pPr>
              <w:widowControl w:val="0"/>
              <w:numPr>
                <w:ilvl w:val="0"/>
                <w:numId w:val="2"/>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Insumos</w:t>
            </w:r>
          </w:p>
        </w:tc>
        <w:tc>
          <w:tcPr>
            <w:shd w:fill="auto" w:val="clear"/>
            <w:tcMar>
              <w:top w:w="100.0" w:type="dxa"/>
              <w:left w:w="100.0" w:type="dxa"/>
              <w:bottom w:w="100.0" w:type="dxa"/>
              <w:right w:w="100.0" w:type="dxa"/>
            </w:tcMar>
          </w:tcPr>
          <w:p w:rsidR="00000000" w:rsidDel="00000000" w:rsidP="00000000" w:rsidRDefault="00000000" w:rsidRPr="00000000" w14:paraId="00000086">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7">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8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8A">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8B">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sz w:val="20"/>
                <w:szCs w:val="20"/>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08D">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8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8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1">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94">
            <w:pPr>
              <w:widowControl w:val="0"/>
              <w:numPr>
                <w:ilvl w:val="0"/>
                <w:numId w:val="15"/>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Productos </w:t>
            </w:r>
          </w:p>
          <w:p w:rsidR="00000000" w:rsidDel="00000000" w:rsidP="00000000" w:rsidRDefault="00000000" w:rsidRPr="00000000" w14:paraId="0000009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(corto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9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A">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B">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C">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9D">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A0">
            <w:pPr>
              <w:widowControl w:val="0"/>
              <w:numPr>
                <w:ilvl w:val="0"/>
                <w:numId w:val="5"/>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Resultados</w:t>
            </w:r>
          </w:p>
          <w:p w:rsidR="00000000" w:rsidDel="00000000" w:rsidP="00000000" w:rsidRDefault="00000000" w:rsidRPr="00000000" w14:paraId="000000A1">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(medio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A2">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3">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4">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9">
            <w:pPr>
              <w:widowControl w:val="0"/>
              <w:rPr>
                <w:rFonts w:ascii="Muli" w:cs="Muli" w:eastAsia="Muli" w:hAnsi="Muli"/>
                <w:sz w:val="20"/>
                <w:szCs w:val="20"/>
              </w:rPr>
            </w:pPr>
            <w:r w:rsidDel="00000000" w:rsidR="00000000" w:rsidRPr="00000000">
              <w:rPr>
                <w:rFonts w:ascii="Muli" w:cs="Muli" w:eastAsia="Muli" w:hAnsi="Muli"/>
                <w:sz w:val="20"/>
                <w:szCs w:val="20"/>
                <w:rtl w:val="0"/>
              </w:rPr>
              <w:t xml:space="preserve">  </w:t>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AC">
            <w:pPr>
              <w:widowControl w:val="0"/>
              <w:numPr>
                <w:ilvl w:val="0"/>
                <w:numId w:val="8"/>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Impacto</w:t>
            </w:r>
          </w:p>
          <w:p w:rsidR="00000000" w:rsidDel="00000000" w:rsidP="00000000" w:rsidRDefault="00000000" w:rsidRPr="00000000" w14:paraId="000000AD">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(largo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A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A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B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B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B2">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B3">
            <w:pPr>
              <w:widowControl w:val="0"/>
              <w:ind w:right="-165"/>
              <w:rPr>
                <w:rFonts w:ascii="Muli" w:cs="Muli" w:eastAsia="Muli" w:hAnsi="Muli"/>
                <w:sz w:val="20"/>
                <w:szCs w:val="20"/>
              </w:rPr>
            </w:pPr>
            <w:r w:rsidDel="00000000" w:rsidR="00000000" w:rsidRPr="00000000">
              <w:rPr>
                <w:rtl w:val="0"/>
              </w:rPr>
            </w:r>
          </w:p>
        </w:tc>
      </w:tr>
    </w:tbl>
    <w:p w:rsidR="00000000" w:rsidDel="00000000" w:rsidP="00000000" w:rsidRDefault="00000000" w:rsidRPr="00000000" w14:paraId="000000B6">
      <w:pPr>
        <w:ind w:right="-990"/>
        <w:rPr>
          <w:rFonts w:ascii="Muli" w:cs="Muli" w:eastAsia="Muli" w:hAnsi="Muli"/>
          <w:b w:val="1"/>
          <w:color w:val="1c4587"/>
          <w:sz w:val="24"/>
          <w:szCs w:val="24"/>
        </w:rPr>
      </w:pPr>
      <w:r w:rsidDel="00000000" w:rsidR="00000000" w:rsidRPr="00000000">
        <w:rPr>
          <w:rtl w:val="0"/>
        </w:rPr>
      </w:r>
    </w:p>
    <w:tbl>
      <w:tblPr>
        <w:tblStyle w:val="Table3"/>
        <w:tblW w:w="967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2385"/>
        <w:gridCol w:w="2505"/>
        <w:gridCol w:w="2760"/>
        <w:tblGridChange w:id="0">
          <w:tblGrid>
            <w:gridCol w:w="2025"/>
            <w:gridCol w:w="2385"/>
            <w:gridCol w:w="2505"/>
            <w:gridCol w:w="2760"/>
          </w:tblGrid>
        </w:tblGridChange>
      </w:tblGrid>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B7">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Estrategia seleccionada</w:t>
            </w:r>
          </w:p>
          <w:p w:rsidR="00000000" w:rsidDel="00000000" w:rsidP="00000000" w:rsidRDefault="00000000" w:rsidRPr="00000000" w14:paraId="000000B8">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(Grupo 3)</w:t>
            </w:r>
          </w:p>
        </w:tc>
        <w:tc>
          <w:tcPr>
            <w:gridSpan w:val="3"/>
            <w:shd w:fill="1c4587" w:val="clear"/>
            <w:tcMar>
              <w:top w:w="100.0" w:type="dxa"/>
              <w:left w:w="100.0" w:type="dxa"/>
              <w:bottom w:w="100.0" w:type="dxa"/>
              <w:right w:w="100.0" w:type="dxa"/>
            </w:tcMar>
          </w:tcPr>
          <w:p w:rsidR="00000000" w:rsidDel="00000000" w:rsidP="00000000" w:rsidRDefault="00000000" w:rsidRPr="00000000" w14:paraId="000000B9">
            <w:pPr>
              <w:widowControl w:val="0"/>
              <w:rPr>
                <w:rFonts w:ascii="Muli" w:cs="Muli" w:eastAsia="Muli" w:hAnsi="Muli"/>
                <w:color w:val="ffffff"/>
                <w:sz w:val="20"/>
                <w:szCs w:val="20"/>
              </w:rPr>
            </w:pPr>
            <w:r w:rsidDel="00000000" w:rsidR="00000000" w:rsidRPr="00000000">
              <w:rPr>
                <w:rtl w:val="0"/>
              </w:rPr>
            </w:r>
          </w:p>
          <w:p w:rsidR="00000000" w:rsidDel="00000000" w:rsidP="00000000" w:rsidRDefault="00000000" w:rsidRPr="00000000" w14:paraId="000000BA">
            <w:pPr>
              <w:widowControl w:val="0"/>
              <w:rPr>
                <w:rFonts w:ascii="Muli" w:cs="Muli" w:eastAsia="Muli" w:hAnsi="Muli"/>
                <w:color w:val="ffffff"/>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BD">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Principio(s)</w:t>
            </w:r>
          </w:p>
        </w:tc>
        <w:tc>
          <w:tcPr>
            <w:gridSpan w:val="3"/>
            <w:shd w:fill="auto" w:val="clear"/>
            <w:tcMar>
              <w:top w:w="100.0" w:type="dxa"/>
              <w:left w:w="100.0" w:type="dxa"/>
              <w:bottom w:w="100.0" w:type="dxa"/>
              <w:right w:w="100.0" w:type="dxa"/>
            </w:tcMar>
          </w:tcPr>
          <w:p w:rsidR="00000000" w:rsidDel="00000000" w:rsidP="00000000" w:rsidRDefault="00000000" w:rsidRPr="00000000" w14:paraId="000000BE">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C1">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Ámbito de las Normas Mínimas </w:t>
            </w:r>
          </w:p>
        </w:tc>
        <w:tc>
          <w:tcPr>
            <w:gridSpan w:val="3"/>
            <w:shd w:fill="auto" w:val="clear"/>
            <w:tcMar>
              <w:top w:w="100.0" w:type="dxa"/>
              <w:left w:w="100.0" w:type="dxa"/>
              <w:bottom w:w="100.0" w:type="dxa"/>
              <w:right w:w="100.0" w:type="dxa"/>
            </w:tcMar>
          </w:tcPr>
          <w:p w:rsidR="00000000" w:rsidDel="00000000" w:rsidP="00000000" w:rsidRDefault="00000000" w:rsidRPr="00000000" w14:paraId="000000C2">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C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Norma(s)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0C6">
            <w:pPr>
              <w:widowControl w:val="0"/>
              <w:rPr>
                <w:rFonts w:ascii="Muli" w:cs="Muli" w:eastAsia="Muli" w:hAnsi="Muli"/>
                <w:sz w:val="20"/>
                <w:szCs w:val="20"/>
              </w:rPr>
            </w:pPr>
            <w:r w:rsidDel="00000000" w:rsidR="00000000" w:rsidRPr="00000000">
              <w:rPr>
                <w:rtl w:val="0"/>
              </w:rPr>
            </w:r>
          </w:p>
        </w:tc>
      </w:tr>
      <w:tr>
        <w:trPr>
          <w:cantSplit w:val="0"/>
          <w:trHeight w:val="558"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C9">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Teoría del cambio</w:t>
            </w:r>
          </w:p>
        </w:tc>
        <w:tc>
          <w:tcPr>
            <w:shd w:fill="f3f3f3" w:val="clear"/>
            <w:tcMar>
              <w:top w:w="100.0" w:type="dxa"/>
              <w:left w:w="100.0" w:type="dxa"/>
              <w:bottom w:w="100.0" w:type="dxa"/>
              <w:right w:w="100.0" w:type="dxa"/>
            </w:tcMar>
          </w:tcPr>
          <w:p w:rsidR="00000000" w:rsidDel="00000000" w:rsidP="00000000" w:rsidRDefault="00000000" w:rsidRPr="00000000" w14:paraId="000000CA">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Si...</w:t>
            </w:r>
          </w:p>
        </w:tc>
        <w:tc>
          <w:tcPr>
            <w:shd w:fill="f3f3f3" w:val="clear"/>
            <w:tcMar>
              <w:top w:w="100.0" w:type="dxa"/>
              <w:left w:w="100.0" w:type="dxa"/>
              <w:bottom w:w="100.0" w:type="dxa"/>
              <w:right w:w="100.0" w:type="dxa"/>
            </w:tcMar>
          </w:tcPr>
          <w:p w:rsidR="00000000" w:rsidDel="00000000" w:rsidP="00000000" w:rsidRDefault="00000000" w:rsidRPr="00000000" w14:paraId="000000CB">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Entonces...</w:t>
            </w:r>
          </w:p>
        </w:tc>
        <w:tc>
          <w:tcPr>
            <w:shd w:fill="f3f3f3" w:val="clear"/>
            <w:tcMar>
              <w:top w:w="100.0" w:type="dxa"/>
              <w:left w:w="100.0" w:type="dxa"/>
              <w:bottom w:w="100.0" w:type="dxa"/>
              <w:right w:w="100.0" w:type="dxa"/>
            </w:tcMar>
          </w:tcPr>
          <w:p w:rsidR="00000000" w:rsidDel="00000000" w:rsidP="00000000" w:rsidRDefault="00000000" w:rsidRPr="00000000" w14:paraId="000000CC">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Lo que llevará a...</w:t>
            </w:r>
          </w:p>
        </w:tc>
      </w:tr>
      <w:tr>
        <w:trPr>
          <w:cantSplit w:val="0"/>
          <w:trHeight w:val="440"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0CD">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CE">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CF">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D0">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D1">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D2">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0D3">
            <w:pPr>
              <w:widowControl w:val="0"/>
              <w:numPr>
                <w:ilvl w:val="0"/>
                <w:numId w:val="1"/>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Insumos</w:t>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A">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C">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D">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D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1">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sz w:val="20"/>
                <w:szCs w:val="20"/>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0E3">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4">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7">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EA">
            <w:pPr>
              <w:widowControl w:val="0"/>
              <w:numPr>
                <w:ilvl w:val="0"/>
                <w:numId w:val="3"/>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Productos </w:t>
            </w:r>
          </w:p>
          <w:p w:rsidR="00000000" w:rsidDel="00000000" w:rsidP="00000000" w:rsidRDefault="00000000" w:rsidRPr="00000000" w14:paraId="000000EB">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(corto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EC">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D">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E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1">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F4">
            <w:pPr>
              <w:widowControl w:val="0"/>
              <w:numPr>
                <w:ilvl w:val="0"/>
                <w:numId w:val="10"/>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Resultados</w:t>
            </w:r>
          </w:p>
          <w:p w:rsidR="00000000" w:rsidDel="00000000" w:rsidP="00000000" w:rsidRDefault="00000000" w:rsidRPr="00000000" w14:paraId="000000F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(medio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F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0FA">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FD">
            <w:pPr>
              <w:widowControl w:val="0"/>
              <w:numPr>
                <w:ilvl w:val="0"/>
                <w:numId w:val="11"/>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Impacto</w:t>
            </w:r>
          </w:p>
          <w:p w:rsidR="00000000" w:rsidDel="00000000" w:rsidP="00000000" w:rsidRDefault="00000000" w:rsidRPr="00000000" w14:paraId="000000FE">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(largo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0FF">
            <w:pPr>
              <w:widowControl w:val="0"/>
              <w:rPr>
                <w:rFonts w:ascii="Muli" w:cs="Muli" w:eastAsia="Muli" w:hAnsi="Muli"/>
                <w:sz w:val="20"/>
                <w:szCs w:val="20"/>
              </w:rPr>
            </w:pPr>
            <w:r w:rsidDel="00000000" w:rsidR="00000000" w:rsidRPr="00000000">
              <w:rPr>
                <w:rFonts w:ascii="Muli" w:cs="Muli" w:eastAsia="Muli" w:hAnsi="Muli"/>
                <w:sz w:val="20"/>
                <w:szCs w:val="20"/>
                <w:rtl w:val="0"/>
              </w:rPr>
              <w:t xml:space="preserve">  </w:t>
            </w:r>
          </w:p>
          <w:p w:rsidR="00000000" w:rsidDel="00000000" w:rsidP="00000000" w:rsidRDefault="00000000" w:rsidRPr="00000000" w14:paraId="0000010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0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02">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03">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04">
            <w:pPr>
              <w:widowControl w:val="0"/>
              <w:rPr>
                <w:rFonts w:ascii="Muli" w:cs="Muli" w:eastAsia="Muli" w:hAnsi="Muli"/>
                <w:sz w:val="20"/>
                <w:szCs w:val="20"/>
              </w:rPr>
            </w:pPr>
            <w:r w:rsidDel="00000000" w:rsidR="00000000" w:rsidRPr="00000000">
              <w:rPr>
                <w:rtl w:val="0"/>
              </w:rPr>
            </w:r>
          </w:p>
        </w:tc>
      </w:tr>
    </w:tbl>
    <w:p w:rsidR="00000000" w:rsidDel="00000000" w:rsidP="00000000" w:rsidRDefault="00000000" w:rsidRPr="00000000" w14:paraId="00000107">
      <w:pPr>
        <w:ind w:right="-99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08">
      <w:pPr>
        <w:ind w:right="-990"/>
        <w:rPr>
          <w:rFonts w:ascii="Muli" w:cs="Muli" w:eastAsia="Muli" w:hAnsi="Muli"/>
          <w:b w:val="1"/>
          <w:color w:val="1c4587"/>
          <w:sz w:val="24"/>
          <w:szCs w:val="24"/>
        </w:rPr>
      </w:pPr>
      <w:r w:rsidDel="00000000" w:rsidR="00000000" w:rsidRPr="00000000">
        <w:rPr>
          <w:rtl w:val="0"/>
        </w:rPr>
      </w:r>
    </w:p>
    <w:tbl>
      <w:tblPr>
        <w:tblStyle w:val="Table4"/>
        <w:tblW w:w="973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2400"/>
        <w:gridCol w:w="2505"/>
        <w:gridCol w:w="2760"/>
        <w:tblGridChange w:id="0">
          <w:tblGrid>
            <w:gridCol w:w="2070"/>
            <w:gridCol w:w="2400"/>
            <w:gridCol w:w="2505"/>
            <w:gridCol w:w="2760"/>
          </w:tblGrid>
        </w:tblGridChange>
      </w:tblGrid>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09">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Estrategia seleccionada</w:t>
            </w:r>
          </w:p>
          <w:p w:rsidR="00000000" w:rsidDel="00000000" w:rsidP="00000000" w:rsidRDefault="00000000" w:rsidRPr="00000000" w14:paraId="0000010A">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(Grupo 4)</w:t>
            </w:r>
          </w:p>
        </w:tc>
        <w:tc>
          <w:tcPr>
            <w:gridSpan w:val="3"/>
            <w:shd w:fill="1c4587" w:val="clear"/>
            <w:tcMar>
              <w:top w:w="100.0" w:type="dxa"/>
              <w:left w:w="100.0" w:type="dxa"/>
              <w:bottom w:w="100.0" w:type="dxa"/>
              <w:right w:w="100.0" w:type="dxa"/>
            </w:tcMar>
          </w:tcPr>
          <w:p w:rsidR="00000000" w:rsidDel="00000000" w:rsidP="00000000" w:rsidRDefault="00000000" w:rsidRPr="00000000" w14:paraId="0000010B">
            <w:pPr>
              <w:widowControl w:val="0"/>
              <w:ind w:left="720" w:firstLine="0"/>
              <w:rPr>
                <w:rFonts w:ascii="Muli" w:cs="Muli" w:eastAsia="Muli" w:hAnsi="Muli"/>
                <w:sz w:val="10"/>
                <w:szCs w:val="10"/>
              </w:rPr>
            </w:pPr>
            <w:r w:rsidDel="00000000" w:rsidR="00000000" w:rsidRPr="00000000">
              <w:rPr>
                <w:rtl w:val="0"/>
              </w:rPr>
            </w:r>
          </w:p>
          <w:p w:rsidR="00000000" w:rsidDel="00000000" w:rsidP="00000000" w:rsidRDefault="00000000" w:rsidRPr="00000000" w14:paraId="0000010C">
            <w:pPr>
              <w:widowControl w:val="0"/>
              <w:rPr>
                <w:rFonts w:ascii="Muli" w:cs="Muli" w:eastAsia="Muli" w:hAnsi="Muli"/>
                <w:color w:val="ffffff"/>
                <w:sz w:val="20"/>
                <w:szCs w:val="20"/>
              </w:rPr>
            </w:pPr>
            <w:r w:rsidDel="00000000" w:rsidR="00000000" w:rsidRPr="00000000">
              <w:rPr>
                <w:rtl w:val="0"/>
              </w:rPr>
            </w:r>
          </w:p>
          <w:p w:rsidR="00000000" w:rsidDel="00000000" w:rsidP="00000000" w:rsidRDefault="00000000" w:rsidRPr="00000000" w14:paraId="0000010D">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10">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Principio(s)</w:t>
            </w:r>
          </w:p>
        </w:tc>
        <w:tc>
          <w:tcPr>
            <w:gridSpan w:val="3"/>
            <w:shd w:fill="auto" w:val="clear"/>
            <w:tcMar>
              <w:top w:w="100.0" w:type="dxa"/>
              <w:left w:w="100.0" w:type="dxa"/>
              <w:bottom w:w="100.0" w:type="dxa"/>
              <w:right w:w="100.0" w:type="dxa"/>
            </w:tcMar>
          </w:tcPr>
          <w:p w:rsidR="00000000" w:rsidDel="00000000" w:rsidP="00000000" w:rsidRDefault="00000000" w:rsidRPr="00000000" w14:paraId="00000111">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14">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Ámbito de las Normas Mínimas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115">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18">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Norma(s)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119">
            <w:pPr>
              <w:widowControl w:val="0"/>
              <w:rPr>
                <w:rFonts w:ascii="Muli" w:cs="Muli" w:eastAsia="Muli" w:hAnsi="Muli"/>
                <w:sz w:val="20"/>
                <w:szCs w:val="20"/>
              </w:rPr>
            </w:pPr>
            <w:r w:rsidDel="00000000" w:rsidR="00000000" w:rsidRPr="00000000">
              <w:rPr>
                <w:rtl w:val="0"/>
              </w:rPr>
            </w:r>
          </w:p>
        </w:tc>
      </w:tr>
      <w:tr>
        <w:trPr>
          <w:cantSplit w:val="0"/>
          <w:trHeight w:val="558"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1C">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Teoría del cambio</w:t>
            </w:r>
          </w:p>
        </w:tc>
        <w:tc>
          <w:tcPr>
            <w:shd w:fill="f3f3f3" w:val="clear"/>
            <w:tcMar>
              <w:top w:w="100.0" w:type="dxa"/>
              <w:left w:w="100.0" w:type="dxa"/>
              <w:bottom w:w="100.0" w:type="dxa"/>
              <w:right w:w="100.0" w:type="dxa"/>
            </w:tcMar>
          </w:tcPr>
          <w:p w:rsidR="00000000" w:rsidDel="00000000" w:rsidP="00000000" w:rsidRDefault="00000000" w:rsidRPr="00000000" w14:paraId="0000011D">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Si...</w:t>
            </w:r>
          </w:p>
        </w:tc>
        <w:tc>
          <w:tcPr>
            <w:shd w:fill="f3f3f3" w:val="clear"/>
            <w:tcMar>
              <w:top w:w="100.0" w:type="dxa"/>
              <w:left w:w="100.0" w:type="dxa"/>
              <w:bottom w:w="100.0" w:type="dxa"/>
              <w:right w:w="100.0" w:type="dxa"/>
            </w:tcMar>
          </w:tcPr>
          <w:p w:rsidR="00000000" w:rsidDel="00000000" w:rsidP="00000000" w:rsidRDefault="00000000" w:rsidRPr="00000000" w14:paraId="0000011E">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Entonces...</w:t>
            </w:r>
          </w:p>
        </w:tc>
        <w:tc>
          <w:tcPr>
            <w:shd w:fill="f3f3f3" w:val="clear"/>
            <w:tcMar>
              <w:top w:w="100.0" w:type="dxa"/>
              <w:left w:w="100.0" w:type="dxa"/>
              <w:bottom w:w="100.0" w:type="dxa"/>
              <w:right w:w="100.0" w:type="dxa"/>
            </w:tcMar>
          </w:tcPr>
          <w:p w:rsidR="00000000" w:rsidDel="00000000" w:rsidP="00000000" w:rsidRDefault="00000000" w:rsidRPr="00000000" w14:paraId="0000011F">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Lo que llevará a...</w:t>
            </w:r>
          </w:p>
        </w:tc>
      </w:tr>
      <w:tr>
        <w:trPr>
          <w:cantSplit w:val="0"/>
          <w:trHeight w:val="440"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120">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1">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2">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3">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4">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5">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6">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27">
            <w:pPr>
              <w:widowControl w:val="0"/>
              <w:numPr>
                <w:ilvl w:val="0"/>
                <w:numId w:val="6"/>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Insumos</w:t>
            </w:r>
          </w:p>
        </w:tc>
        <w:tc>
          <w:tcPr>
            <w:shd w:fill="auto" w:val="clear"/>
            <w:tcMar>
              <w:top w:w="100.0" w:type="dxa"/>
              <w:left w:w="100.0" w:type="dxa"/>
              <w:bottom w:w="100.0" w:type="dxa"/>
              <w:right w:w="100.0" w:type="dxa"/>
            </w:tcMar>
          </w:tcPr>
          <w:p w:rsidR="00000000" w:rsidDel="00000000" w:rsidP="00000000" w:rsidRDefault="00000000" w:rsidRPr="00000000" w14:paraId="0000012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A">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B">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C">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D">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2F">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0">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1">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sz w:val="20"/>
                <w:szCs w:val="20"/>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133">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34">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3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3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37">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3A">
            <w:pPr>
              <w:widowControl w:val="0"/>
              <w:numPr>
                <w:ilvl w:val="0"/>
                <w:numId w:val="4"/>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Productos </w:t>
            </w:r>
          </w:p>
          <w:p w:rsidR="00000000" w:rsidDel="00000000" w:rsidP="00000000" w:rsidRDefault="00000000" w:rsidRPr="00000000" w14:paraId="0000013B">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(corto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3C">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3D">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3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3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0">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43">
            <w:pPr>
              <w:widowControl w:val="0"/>
              <w:numPr>
                <w:ilvl w:val="0"/>
                <w:numId w:val="7"/>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Resultados</w:t>
            </w:r>
          </w:p>
          <w:p w:rsidR="00000000" w:rsidDel="00000000" w:rsidP="00000000" w:rsidRDefault="00000000" w:rsidRPr="00000000" w14:paraId="00000144">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(medio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4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4A">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4D">
            <w:pPr>
              <w:widowControl w:val="0"/>
              <w:numPr>
                <w:ilvl w:val="0"/>
                <w:numId w:val="21"/>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Impacto</w:t>
            </w:r>
          </w:p>
          <w:p w:rsidR="00000000" w:rsidDel="00000000" w:rsidP="00000000" w:rsidRDefault="00000000" w:rsidRPr="00000000" w14:paraId="0000014E">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(largo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4F">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50">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51">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52">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53">
            <w:pPr>
              <w:widowControl w:val="0"/>
              <w:ind w:left="720" w:firstLine="0"/>
              <w:rPr>
                <w:rFonts w:ascii="Muli" w:cs="Muli" w:eastAsia="Muli" w:hAnsi="Muli"/>
                <w:sz w:val="20"/>
                <w:szCs w:val="20"/>
              </w:rPr>
            </w:pPr>
            <w:r w:rsidDel="00000000" w:rsidR="00000000" w:rsidRPr="00000000">
              <w:rPr>
                <w:rtl w:val="0"/>
              </w:rPr>
            </w:r>
          </w:p>
          <w:p w:rsidR="00000000" w:rsidDel="00000000" w:rsidP="00000000" w:rsidRDefault="00000000" w:rsidRPr="00000000" w14:paraId="00000154">
            <w:pPr>
              <w:widowControl w:val="0"/>
              <w:ind w:left="720" w:firstLine="0"/>
              <w:rPr>
                <w:rFonts w:ascii="Muli" w:cs="Muli" w:eastAsia="Muli" w:hAnsi="Muli"/>
                <w:sz w:val="20"/>
                <w:szCs w:val="20"/>
              </w:rPr>
            </w:pPr>
            <w:r w:rsidDel="00000000" w:rsidR="00000000" w:rsidRPr="00000000">
              <w:rPr>
                <w:rtl w:val="0"/>
              </w:rPr>
            </w:r>
          </w:p>
        </w:tc>
      </w:tr>
    </w:tbl>
    <w:p w:rsidR="00000000" w:rsidDel="00000000" w:rsidP="00000000" w:rsidRDefault="00000000" w:rsidRPr="00000000" w14:paraId="00000157">
      <w:pPr>
        <w:ind w:right="-990"/>
        <w:rPr>
          <w:rFonts w:ascii="Muli" w:cs="Muli" w:eastAsia="Muli" w:hAnsi="Muli"/>
          <w:b w:val="1"/>
          <w:color w:val="1c4587"/>
          <w:sz w:val="24"/>
          <w:szCs w:val="24"/>
        </w:rPr>
      </w:pPr>
      <w:r w:rsidDel="00000000" w:rsidR="00000000" w:rsidRPr="00000000">
        <w:rPr>
          <w:rtl w:val="0"/>
        </w:rPr>
      </w:r>
    </w:p>
    <w:tbl>
      <w:tblPr>
        <w:tblStyle w:val="Table5"/>
        <w:tblW w:w="97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2085"/>
        <w:gridCol w:w="2595"/>
        <w:gridCol w:w="2940"/>
        <w:tblGridChange w:id="0">
          <w:tblGrid>
            <w:gridCol w:w="2085"/>
            <w:gridCol w:w="2085"/>
            <w:gridCol w:w="2595"/>
            <w:gridCol w:w="2940"/>
          </w:tblGrid>
        </w:tblGridChange>
      </w:tblGrid>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58">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Estrategia seleccionada</w:t>
            </w:r>
          </w:p>
          <w:p w:rsidR="00000000" w:rsidDel="00000000" w:rsidP="00000000" w:rsidRDefault="00000000" w:rsidRPr="00000000" w14:paraId="00000159">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(Grupo 5)</w:t>
            </w:r>
          </w:p>
        </w:tc>
        <w:tc>
          <w:tcPr>
            <w:gridSpan w:val="3"/>
            <w:shd w:fill="1c4587" w:val="clear"/>
            <w:tcMar>
              <w:top w:w="100.0" w:type="dxa"/>
              <w:left w:w="100.0" w:type="dxa"/>
              <w:bottom w:w="100.0" w:type="dxa"/>
              <w:right w:w="100.0" w:type="dxa"/>
            </w:tcMar>
          </w:tcPr>
          <w:p w:rsidR="00000000" w:rsidDel="00000000" w:rsidP="00000000" w:rsidRDefault="00000000" w:rsidRPr="00000000" w14:paraId="0000015A">
            <w:pPr>
              <w:widowControl w:val="0"/>
              <w:rPr>
                <w:rFonts w:ascii="Muli" w:cs="Muli" w:eastAsia="Muli" w:hAnsi="Muli"/>
                <w:color w:val="ffffff"/>
                <w:sz w:val="20"/>
                <w:szCs w:val="20"/>
              </w:rPr>
            </w:pPr>
            <w:r w:rsidDel="00000000" w:rsidR="00000000" w:rsidRPr="00000000">
              <w:rPr>
                <w:rtl w:val="0"/>
              </w:rPr>
            </w:r>
          </w:p>
          <w:p w:rsidR="00000000" w:rsidDel="00000000" w:rsidP="00000000" w:rsidRDefault="00000000" w:rsidRPr="00000000" w14:paraId="0000015B">
            <w:pPr>
              <w:widowControl w:val="0"/>
              <w:ind w:left="720" w:firstLine="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5E">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Principio(s) </w:t>
            </w:r>
          </w:p>
        </w:tc>
        <w:tc>
          <w:tcPr>
            <w:gridSpan w:val="3"/>
            <w:shd w:fill="auto" w:val="clear"/>
            <w:tcMar>
              <w:top w:w="100.0" w:type="dxa"/>
              <w:left w:w="100.0" w:type="dxa"/>
              <w:bottom w:w="100.0" w:type="dxa"/>
              <w:right w:w="100.0" w:type="dxa"/>
            </w:tcMar>
          </w:tcPr>
          <w:p w:rsidR="00000000" w:rsidDel="00000000" w:rsidP="00000000" w:rsidRDefault="00000000" w:rsidRPr="00000000" w14:paraId="0000015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6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6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62">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6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Ámbito de las Normas Mínimas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166">
            <w:pPr>
              <w:widowControl w:val="0"/>
              <w:rPr>
                <w:rFonts w:ascii="Muli" w:cs="Muli" w:eastAsia="Muli" w:hAnsi="Muli"/>
                <w:b w:val="1"/>
                <w:sz w:val="20"/>
                <w:szCs w:val="20"/>
              </w:rPr>
            </w:pPr>
            <w:r w:rsidDel="00000000" w:rsidR="00000000" w:rsidRPr="00000000">
              <w:rPr>
                <w:rtl w:val="0"/>
              </w:rPr>
            </w:r>
          </w:p>
          <w:p w:rsidR="00000000" w:rsidDel="00000000" w:rsidP="00000000" w:rsidRDefault="00000000" w:rsidRPr="00000000" w14:paraId="00000167">
            <w:pPr>
              <w:widowControl w:val="0"/>
              <w:rPr>
                <w:rFonts w:ascii="Muli" w:cs="Muli" w:eastAsia="Muli" w:hAnsi="Muli"/>
                <w:b w:val="1"/>
                <w:sz w:val="20"/>
                <w:szCs w:val="20"/>
              </w:rPr>
            </w:pPr>
            <w:r w:rsidDel="00000000" w:rsidR="00000000" w:rsidRPr="00000000">
              <w:rPr>
                <w:rtl w:val="0"/>
              </w:rPr>
            </w:r>
          </w:p>
          <w:p w:rsidR="00000000" w:rsidDel="00000000" w:rsidP="00000000" w:rsidRDefault="00000000" w:rsidRPr="00000000" w14:paraId="00000168">
            <w:pPr>
              <w:widowControl w:val="0"/>
              <w:rPr>
                <w:rFonts w:ascii="Muli" w:cs="Muli" w:eastAsia="Muli" w:hAnsi="Muli"/>
                <w:b w:val="1"/>
                <w:sz w:val="20"/>
                <w:szCs w:val="20"/>
              </w:rPr>
            </w:pPr>
            <w:r w:rsidDel="00000000" w:rsidR="00000000" w:rsidRPr="00000000">
              <w:rPr>
                <w:rtl w:val="0"/>
              </w:rPr>
            </w:r>
          </w:p>
          <w:p w:rsidR="00000000" w:rsidDel="00000000" w:rsidP="00000000" w:rsidRDefault="00000000" w:rsidRPr="00000000" w14:paraId="00000169">
            <w:pPr>
              <w:widowControl w:val="0"/>
              <w:rPr>
                <w:rFonts w:ascii="Muli" w:cs="Muli" w:eastAsia="Muli" w:hAnsi="Muli"/>
                <w:b w:val="1"/>
                <w:sz w:val="20"/>
                <w:szCs w:val="20"/>
              </w:rPr>
            </w:pPr>
            <w:r w:rsidDel="00000000" w:rsidR="00000000" w:rsidRPr="00000000">
              <w:rPr>
                <w:rtl w:val="0"/>
              </w:rPr>
            </w:r>
          </w:p>
        </w:tc>
      </w:tr>
      <w:tr>
        <w:trPr>
          <w:cantSplit w:val="0"/>
          <w:trHeight w:val="555"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6C">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Norma(s)</w:t>
            </w:r>
          </w:p>
        </w:tc>
        <w:tc>
          <w:tcPr>
            <w:gridSpan w:val="3"/>
            <w:shd w:fill="auto" w:val="clear"/>
            <w:tcMar>
              <w:top w:w="100.0" w:type="dxa"/>
              <w:left w:w="100.0" w:type="dxa"/>
              <w:bottom w:w="100.0" w:type="dxa"/>
              <w:right w:w="100.0" w:type="dxa"/>
            </w:tcMar>
          </w:tcPr>
          <w:p w:rsidR="00000000" w:rsidDel="00000000" w:rsidP="00000000" w:rsidRDefault="00000000" w:rsidRPr="00000000" w14:paraId="0000016D">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6E">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6F">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70">
            <w:pPr>
              <w:widowControl w:val="0"/>
              <w:rPr>
                <w:rFonts w:ascii="Muli" w:cs="Muli" w:eastAsia="Muli" w:hAnsi="Muli"/>
                <w:sz w:val="20"/>
                <w:szCs w:val="20"/>
              </w:rPr>
            </w:pPr>
            <w:r w:rsidDel="00000000" w:rsidR="00000000" w:rsidRPr="00000000">
              <w:rPr>
                <w:rtl w:val="0"/>
              </w:rPr>
            </w:r>
          </w:p>
        </w:tc>
      </w:tr>
      <w:tr>
        <w:trPr>
          <w:cantSplit w:val="0"/>
          <w:trHeight w:val="558"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73">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Teoría del cambio</w:t>
            </w:r>
          </w:p>
        </w:tc>
        <w:tc>
          <w:tcPr>
            <w:shd w:fill="f3f3f3" w:val="clear"/>
            <w:tcMar>
              <w:top w:w="100.0" w:type="dxa"/>
              <w:left w:w="100.0" w:type="dxa"/>
              <w:bottom w:w="100.0" w:type="dxa"/>
              <w:right w:w="100.0" w:type="dxa"/>
            </w:tcMar>
          </w:tcPr>
          <w:p w:rsidR="00000000" w:rsidDel="00000000" w:rsidP="00000000" w:rsidRDefault="00000000" w:rsidRPr="00000000" w14:paraId="00000174">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Si...</w:t>
            </w:r>
          </w:p>
        </w:tc>
        <w:tc>
          <w:tcPr>
            <w:shd w:fill="f3f3f3" w:val="clear"/>
            <w:tcMar>
              <w:top w:w="100.0" w:type="dxa"/>
              <w:left w:w="100.0" w:type="dxa"/>
              <w:bottom w:w="100.0" w:type="dxa"/>
              <w:right w:w="100.0" w:type="dxa"/>
            </w:tcMar>
          </w:tcPr>
          <w:p w:rsidR="00000000" w:rsidDel="00000000" w:rsidP="00000000" w:rsidRDefault="00000000" w:rsidRPr="00000000" w14:paraId="00000175">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Entonces...</w:t>
            </w:r>
          </w:p>
        </w:tc>
        <w:tc>
          <w:tcPr>
            <w:shd w:fill="f3f3f3" w:val="clear"/>
            <w:tcMar>
              <w:top w:w="100.0" w:type="dxa"/>
              <w:left w:w="100.0" w:type="dxa"/>
              <w:bottom w:w="100.0" w:type="dxa"/>
              <w:right w:w="100.0" w:type="dxa"/>
            </w:tcMar>
          </w:tcPr>
          <w:p w:rsidR="00000000" w:rsidDel="00000000" w:rsidP="00000000" w:rsidRDefault="00000000" w:rsidRPr="00000000" w14:paraId="00000176">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Lo que llevará a...</w:t>
            </w:r>
          </w:p>
        </w:tc>
      </w:tr>
      <w:tr>
        <w:trPr>
          <w:cantSplit w:val="0"/>
          <w:trHeight w:val="440"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177">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8">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9">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A">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B">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C">
            <w:pPr>
              <w:widowControl w:val="0"/>
              <w:rPr>
                <w:rFonts w:ascii="Muli" w:cs="Muli" w:eastAsia="Muli" w:hAnsi="Muli"/>
                <w:b w:val="1"/>
                <w:color w:val="1c4587"/>
                <w:sz w:val="24"/>
                <w:szCs w:val="24"/>
              </w:rPr>
            </w:pPr>
            <w:r w:rsidDel="00000000" w:rsidR="00000000" w:rsidRPr="00000000">
              <w:rPr>
                <w:rtl w:val="0"/>
              </w:rPr>
            </w:r>
          </w:p>
          <w:p w:rsidR="00000000" w:rsidDel="00000000" w:rsidP="00000000" w:rsidRDefault="00000000" w:rsidRPr="00000000" w14:paraId="0000017D">
            <w:pPr>
              <w:widowControl w:val="0"/>
              <w:numPr>
                <w:ilvl w:val="0"/>
                <w:numId w:val="18"/>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Insumos</w:t>
            </w:r>
          </w:p>
        </w:tc>
        <w:tc>
          <w:tcPr>
            <w:shd w:fill="auto" w:val="clear"/>
            <w:tcMar>
              <w:top w:w="100.0" w:type="dxa"/>
              <w:left w:w="100.0" w:type="dxa"/>
              <w:bottom w:w="100.0" w:type="dxa"/>
              <w:right w:w="100.0" w:type="dxa"/>
            </w:tcMar>
          </w:tcPr>
          <w:p w:rsidR="00000000" w:rsidDel="00000000" w:rsidP="00000000" w:rsidRDefault="00000000" w:rsidRPr="00000000" w14:paraId="0000017E">
            <w:pPr>
              <w:widowControl w:val="0"/>
              <w:rPr>
                <w:rFonts w:ascii="Muli" w:cs="Muli" w:eastAsia="Muli" w:hAnsi="Mul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F">
            <w:pPr>
              <w:widowControl w:val="0"/>
              <w:rPr>
                <w:rFonts w:ascii="Muli" w:cs="Muli" w:eastAsia="Muli" w:hAnsi="Muli"/>
                <w:sz w:val="20"/>
                <w:szCs w:val="20"/>
              </w:rPr>
            </w:pPr>
            <w:r w:rsidDel="00000000" w:rsidR="00000000" w:rsidRPr="00000000">
              <w:rPr>
                <w:rFonts w:ascii="Muli" w:cs="Muli" w:eastAsia="Muli" w:hAnsi="Muli"/>
                <w:sz w:val="20"/>
                <w:szCs w:val="20"/>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18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2">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3">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4">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5">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6">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8">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sz w:val="20"/>
                <w:szCs w:val="20"/>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18A">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8B">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8E">
            <w:pPr>
              <w:widowControl w:val="0"/>
              <w:numPr>
                <w:ilvl w:val="0"/>
                <w:numId w:val="9"/>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Productos </w:t>
            </w:r>
          </w:p>
          <w:p w:rsidR="00000000" w:rsidDel="00000000" w:rsidP="00000000" w:rsidRDefault="00000000" w:rsidRPr="00000000" w14:paraId="0000018F">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(corto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9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2">
            <w:pPr>
              <w:widowControl w:val="0"/>
              <w:rPr>
                <w:rFonts w:ascii="Muli" w:cs="Muli" w:eastAsia="Muli" w:hAnsi="Muli"/>
                <w:sz w:val="20"/>
                <w:szCs w:val="20"/>
              </w:rPr>
            </w:pPr>
            <w:r w:rsidDel="00000000" w:rsidR="00000000" w:rsidRPr="00000000">
              <w:rPr>
                <w:rFonts w:ascii="Muli" w:cs="Muli" w:eastAsia="Muli" w:hAnsi="Muli"/>
                <w:sz w:val="20"/>
                <w:szCs w:val="20"/>
                <w:rtl w:val="0"/>
              </w:rPr>
              <w:t xml:space="preserve">  </w:t>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95">
            <w:pPr>
              <w:widowControl w:val="0"/>
              <w:numPr>
                <w:ilvl w:val="0"/>
                <w:numId w:val="13"/>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Resultados</w:t>
            </w:r>
          </w:p>
          <w:p w:rsidR="00000000" w:rsidDel="00000000" w:rsidP="00000000" w:rsidRDefault="00000000" w:rsidRPr="00000000" w14:paraId="00000196">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(medio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97">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8">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9">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A">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9B">
            <w:pPr>
              <w:widowControl w:val="0"/>
              <w:rPr>
                <w:rFonts w:ascii="Muli" w:cs="Muli" w:eastAsia="Muli" w:hAnsi="Muli"/>
                <w:sz w:val="20"/>
                <w:szCs w:val="20"/>
              </w:rPr>
            </w:pPr>
            <w:r w:rsidDel="00000000" w:rsidR="00000000" w:rsidRPr="00000000">
              <w:rPr>
                <w:rtl w:val="0"/>
              </w:rPr>
            </w:r>
          </w:p>
        </w:tc>
      </w:tr>
      <w:tr>
        <w:trPr>
          <w:cantSplit w:val="0"/>
          <w:trHeight w:val="44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19E">
            <w:pPr>
              <w:widowControl w:val="0"/>
              <w:numPr>
                <w:ilvl w:val="0"/>
                <w:numId w:val="19"/>
              </w:numPr>
              <w:ind w:left="360" w:hanging="36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Impacto</w:t>
            </w:r>
          </w:p>
          <w:p w:rsidR="00000000" w:rsidDel="00000000" w:rsidP="00000000" w:rsidRDefault="00000000" w:rsidRPr="00000000" w14:paraId="0000019F">
            <w:pPr>
              <w:widowControl w:val="0"/>
              <w:rPr>
                <w:rFonts w:ascii="Muli" w:cs="Muli" w:eastAsia="Muli" w:hAnsi="Muli"/>
                <w:b w:val="1"/>
                <w:color w:val="1c4587"/>
                <w:sz w:val="24"/>
                <w:szCs w:val="24"/>
              </w:rPr>
            </w:pPr>
            <w:r w:rsidDel="00000000" w:rsidR="00000000" w:rsidRPr="00000000">
              <w:rPr>
                <w:rFonts w:ascii="Muli" w:cs="Muli" w:eastAsia="Muli" w:hAnsi="Muli"/>
                <w:b w:val="1"/>
                <w:color w:val="1c4587"/>
                <w:sz w:val="24"/>
                <w:szCs w:val="24"/>
                <w:rtl w:val="0"/>
              </w:rPr>
              <w:t xml:space="preserve">(largo plazo)</w:t>
            </w:r>
          </w:p>
        </w:tc>
        <w:tc>
          <w:tcPr>
            <w:gridSpan w:val="3"/>
            <w:shd w:fill="auto" w:val="clear"/>
            <w:tcMar>
              <w:top w:w="100.0" w:type="dxa"/>
              <w:left w:w="100.0" w:type="dxa"/>
              <w:bottom w:w="100.0" w:type="dxa"/>
              <w:right w:w="100.0" w:type="dxa"/>
            </w:tcMar>
          </w:tcPr>
          <w:p w:rsidR="00000000" w:rsidDel="00000000" w:rsidP="00000000" w:rsidRDefault="00000000" w:rsidRPr="00000000" w14:paraId="000001A0">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A1">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A2">
            <w:pPr>
              <w:widowControl w:val="0"/>
              <w:rPr>
                <w:rFonts w:ascii="Muli" w:cs="Muli" w:eastAsia="Muli" w:hAnsi="Muli"/>
                <w:sz w:val="20"/>
                <w:szCs w:val="20"/>
              </w:rPr>
            </w:pPr>
            <w:r w:rsidDel="00000000" w:rsidR="00000000" w:rsidRPr="00000000">
              <w:rPr>
                <w:rtl w:val="0"/>
              </w:rPr>
            </w:r>
          </w:p>
          <w:p w:rsidR="00000000" w:rsidDel="00000000" w:rsidP="00000000" w:rsidRDefault="00000000" w:rsidRPr="00000000" w14:paraId="000001A3">
            <w:pPr>
              <w:widowControl w:val="0"/>
              <w:rPr>
                <w:rFonts w:ascii="Muli" w:cs="Muli" w:eastAsia="Muli" w:hAnsi="Muli"/>
                <w:sz w:val="20"/>
                <w:szCs w:val="20"/>
              </w:rPr>
            </w:pPr>
            <w:r w:rsidDel="00000000" w:rsidR="00000000" w:rsidRPr="00000000">
              <w:rPr>
                <w:rtl w:val="0"/>
              </w:rPr>
            </w:r>
          </w:p>
        </w:tc>
      </w:tr>
    </w:tbl>
    <w:p w:rsidR="00000000" w:rsidDel="00000000" w:rsidP="00000000" w:rsidRDefault="00000000" w:rsidRPr="00000000" w14:paraId="000001A6">
      <w:pPr>
        <w:ind w:right="30"/>
        <w:rPr/>
      </w:pPr>
      <w:r w:rsidDel="00000000" w:rsidR="00000000" w:rsidRPr="00000000">
        <w:rPr>
          <w:rtl w:val="0"/>
        </w:rPr>
      </w:r>
    </w:p>
    <w:sectPr>
      <w:headerReference r:id="rId13" w:type="default"/>
      <w:headerReference r:id="rId14" w:type="first"/>
      <w:footerReference r:id="rId15" w:type="default"/>
      <w:footerReference r:id="rId16" w:type="first"/>
      <w:pgSz w:h="16838" w:w="11906" w:orient="portrait"/>
      <w:pgMar w:bottom="1080" w:top="1080" w:left="1080" w:right="1080" w:header="431.99999999999994" w:footer="720"/>
      <w:pgNumType w:start="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rah Montgomery" w:id="0" w:date="2023-07-28T23:57:03Z">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Insert cover of workshop guide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A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ul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A">
    <w:pPr>
      <w:jc w:val="right"/>
      <w:rPr>
        <w:rFonts w:ascii="Muli" w:cs="Muli" w:eastAsia="Muli" w:hAnsi="Muli"/>
      </w:rPr>
    </w:pPr>
    <w:r w:rsidDel="00000000" w:rsidR="00000000" w:rsidRPr="00000000">
      <w:rPr>
        <w:rFonts w:ascii="Muli" w:cs="Muli" w:eastAsia="Muli" w:hAnsi="Muli"/>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jc w:val="right"/>
      <w:rPr/>
    </w:pPr>
    <w:r w:rsidDel="00000000" w:rsidR="00000000" w:rsidRPr="00000000">
      <w:rPr/>
      <w:drawing>
        <wp:inline distB="114300" distT="114300" distL="114300" distR="114300">
          <wp:extent cx="2468888" cy="3397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68888" cy="339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36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lvl w:ilvl="0">
      <w:start w:val="1"/>
      <w:numFmt w:val="decimal"/>
      <w:lvlText w:val="%1."/>
      <w:lvlJc w:val="left"/>
      <w:pPr>
        <w:ind w:left="720" w:hanging="360"/>
      </w:pPr>
      <w:rPr>
        <w:rFonts w:ascii="Arial" w:cs="Arial" w:eastAsia="Arial" w:hAnsi="Arial"/>
        <w:b w:val="1"/>
        <w:color w:val="1c4587"/>
        <w:sz w:val="24"/>
        <w:szCs w:val="24"/>
        <w:highlight w:val="white"/>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inee.org/es/recursos/nota-de-orientacion-para-el-bienestar-del-docente-en-situaciones-de-emergencia" TargetMode="External"/><Relationship Id="rId10" Type="http://schemas.openxmlformats.org/officeDocument/2006/relationships/hyperlink" Target="https://inee.org/es/recursos/mapeo-e-informe-de-analisis-sobre-el-bienestar-docente" TargetMode="External"/><Relationship Id="rId13" Type="http://schemas.openxmlformats.org/officeDocument/2006/relationships/header" Target="header2.xm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inee.org/es/resources/el-bienestar-docente-en-entornos-afectados-por-escasez-de-recursos-crisis-y-conflictos"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SwsBw0LHIor+GOpJgnL190u4Rw==">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