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Plan de Acción para el Bienestar Docente: </w:t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Ámbito 2: Acceso y ambiente de aprendizaje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Norma(s):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Estrategias: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Teoría del cambio</w:t>
            </w:r>
          </w:p>
        </w:tc>
      </w:tr>
      <w:tr>
        <w:trPr>
          <w:cantSplit w:val="0"/>
          <w:trHeight w:val="972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Si...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Entonces...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Lo que llevará a...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Primer año &gt;  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Segundo año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Tercer año &gt;</w:t>
            </w:r>
          </w:p>
        </w:tc>
      </w:tr>
      <w:tr>
        <w:trPr>
          <w:cantSplit w:val="0"/>
          <w:trHeight w:val="456.6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Productos (a corto plazo)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(a medio plazo)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Impacto (a largo plazo)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(inicio e implementación)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(en escala)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(sostenibilidad)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(conexión y colaboración)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(coalición y compromiso)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(cohesión y coherencia)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9467850</wp:posOffset>
          </wp:positionH>
          <wp:positionV relativeFrom="paragraph">
            <wp:posOffset>-247648</wp:posOffset>
          </wp:positionV>
          <wp:extent cx="4395901" cy="600994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108" r="108" t="0"/>
                  <a:stretch>
                    <a:fillRect/>
                  </a:stretch>
                </pic:blipFill>
                <pic:spPr>
                  <a:xfrm>
                    <a:off x="0" y="0"/>
                    <a:ext cx="4395901" cy="60099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kX83llT/9IEBQVC4M+i/GXQS8w==">CgMxLjA4AHIhMVozbDBkdU9pUlJibDFfSGZ3X3ZLNFVlYloyZW5fY1U5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