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i w:val="1"/>
        </w:rPr>
      </w:pPr>
      <w:r w:rsidDel="00000000" w:rsidR="00000000" w:rsidRPr="00000000">
        <w:rPr>
          <w:i w:val="1"/>
          <w:rtl w:val="0"/>
        </w:rPr>
        <w:t xml:space="preserve">Nota el/la facilitador/a: La INEE sugiere, si es posible, utilizar Google Forms, Survey Monkey u otra plataforma de encuestas en línea para el siguiente formulario de registro.</w:t>
      </w:r>
    </w:p>
    <w:p w:rsidR="00000000" w:rsidDel="00000000" w:rsidP="00000000" w:rsidRDefault="00000000" w:rsidRPr="00000000" w14:paraId="00000002">
      <w:pPr>
        <w:rPr>
          <w:i w:val="1"/>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rtl w:val="0"/>
        </w:rPr>
      </w:r>
    </w:p>
    <w:p w:rsidR="00000000" w:rsidDel="00000000" w:rsidP="00000000" w:rsidRDefault="00000000" w:rsidRPr="00000000" w14:paraId="00000004">
      <w:pPr>
        <w:jc w:val="center"/>
        <w:rPr>
          <w:b w:val="1"/>
          <w:sz w:val="28"/>
          <w:szCs w:val="28"/>
        </w:rPr>
      </w:pPr>
      <w:r w:rsidDel="00000000" w:rsidR="00000000" w:rsidRPr="00000000">
        <w:rPr>
          <w:b w:val="1"/>
          <w:sz w:val="28"/>
          <w:szCs w:val="28"/>
          <w:rtl w:val="0"/>
        </w:rPr>
        <w:t xml:space="preserve">Bienestar docente en situaciones de emergencia: Taller Regional de Contextualización, Política y Práctica</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La Red Interagencial para la Educación en Situaciones de Emergencias (INEE) y </w:t>
      </w:r>
      <w:r w:rsidDel="00000000" w:rsidR="00000000" w:rsidRPr="00000000">
        <w:rPr>
          <w:highlight w:val="yellow"/>
          <w:rtl w:val="0"/>
        </w:rPr>
        <w:t xml:space="preserve">[ORGANIZACIÓN LOCAL]</w:t>
      </w:r>
      <w:r w:rsidDel="00000000" w:rsidR="00000000" w:rsidRPr="00000000">
        <w:rPr>
          <w:rtl w:val="0"/>
        </w:rPr>
        <w:t xml:space="preserve"> se complacen en convocar este taller piloto en </w:t>
      </w:r>
      <w:r w:rsidDel="00000000" w:rsidR="00000000" w:rsidRPr="00000000">
        <w:rPr>
          <w:highlight w:val="yellow"/>
          <w:rtl w:val="0"/>
        </w:rPr>
        <w:t xml:space="preserve">[LUGAR Y FECHAS]</w:t>
      </w:r>
      <w:r w:rsidDel="00000000" w:rsidR="00000000" w:rsidRPr="00000000">
        <w:rPr>
          <w:rtl w:val="0"/>
        </w:rPr>
        <w:t xml:space="preserv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Queremos conectarnos, incluir e involucrarnos con líderes, docentes y profesionales clave en el sistema educativo [CONTEXTO] para aprender y tomar la iniciativa sobre políticas y prácticas relacionadas con el bienestar docente.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Presentaremos las herramientas y la nota de orientación sobre el bienestar docente de la INEE y utilizaremos la evidencia, los principios y las recomendaciones de estos recursos para formular un plan de acción sobre el bienestar docente para [CONTEXTO].</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La nota de orientación para el bienestar docente está alineada con los ámbitos de las Normas Mínimas de la INEE para la Educación en Situaciones de Emergencias. Durante el taller, los equipos especializados sopesarán juntos áreas prioritarias de actuación para [CONTEXTO]. Utilice esta encuesta para seleccionar el ámbito en el que desea centrarse, ya que esto indicará nuestra producción de cuadernos de trabajo y la disposición de los equipos del plan de acción para el taller.</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Puede encontrar la versión en español de la nota de orientación sobre el bienestar docente aquí: </w:t>
      </w:r>
      <w:hyperlink r:id="rId7">
        <w:r w:rsidDel="00000000" w:rsidR="00000000" w:rsidRPr="00000000">
          <w:rPr>
            <w:color w:val="1155cc"/>
            <w:u w:val="single"/>
            <w:rtl w:val="0"/>
          </w:rPr>
          <w:t xml:space="preserve">https://inee.org/es/recursos/nota-de-orientacion-para-el-bienestar-del-docente-en-situaciones-de-emergencia</w:t>
        </w:r>
      </w:hyperlink>
      <w:r w:rsidDel="00000000" w:rsidR="00000000" w:rsidRPr="00000000">
        <w:rPr>
          <w:rtl w:val="0"/>
        </w:rPr>
        <w:t xml:space="preserve">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Las Normas Mínimas de la INEE se encuentran aquí: </w:t>
      </w:r>
      <w:hyperlink r:id="rId8">
        <w:r w:rsidDel="00000000" w:rsidR="00000000" w:rsidRPr="00000000">
          <w:rPr>
            <w:color w:val="1155cc"/>
            <w:u w:val="single"/>
            <w:rtl w:val="0"/>
          </w:rPr>
          <w:t xml:space="preserve">https://inee.org/normas-mínimas</w:t>
        </w:r>
      </w:hyperlink>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*campo obligatorio</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b w:val="1"/>
          <w:rtl w:val="0"/>
        </w:rPr>
        <w:t xml:space="preserve">* Su nombre:</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 Su dirección de correo electrónico:</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 Su organización:</w:t>
      </w:r>
    </w:p>
    <w:p w:rsidR="00000000" w:rsidDel="00000000" w:rsidP="00000000" w:rsidRDefault="00000000" w:rsidRPr="00000000" w14:paraId="00000019">
      <w:pPr>
        <w:rPr>
          <w:rFonts w:ascii="Arial" w:cs="Arial" w:eastAsia="Arial" w:hAnsi="Arial"/>
          <w:b w:val="1"/>
          <w:color w:val="202124"/>
          <w:highlight w:val="white"/>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 Cuéntenos un poco más sobre su función:</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*¿Qué espera aprender y adquirir con este taller?</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En el taller nos centraremos en los principios de bienestar docente y el «Ámbito 1: Normas Fundamentales» como un bloque completo, y luego nos dividiremos en equipos más pequeños centrándonos en el bienestar docente en cuatro ámbitos de de las Normas Mínimas. Seleccione un ámbito a continuación que mejor se adapte a su propio trabajo, intereses y forma de contribuir al bienestar docente en </w:t>
      </w:r>
      <w:r w:rsidDel="00000000" w:rsidR="00000000" w:rsidRPr="00000000">
        <w:rPr>
          <w:b w:val="1"/>
          <w:highlight w:val="yellow"/>
          <w:rtl w:val="0"/>
        </w:rPr>
        <w:t xml:space="preserve">[CONTEXTO]</w:t>
      </w:r>
      <w:r w:rsidDel="00000000" w:rsidR="00000000" w:rsidRPr="00000000">
        <w:rPr>
          <w:b w:val="1"/>
          <w:rtl w:val="0"/>
        </w:rPr>
        <w:t xml:space="preserve">.</w:t>
      </w:r>
    </w:p>
    <w:p w:rsidR="00000000" w:rsidDel="00000000" w:rsidP="00000000" w:rsidRDefault="00000000" w:rsidRPr="00000000" w14:paraId="0000001F">
      <w:pPr>
        <w:numPr>
          <w:ilvl w:val="0"/>
          <w:numId w:val="2"/>
        </w:numPr>
        <w:ind w:left="720" w:hanging="360"/>
        <w:rPr>
          <w:u w:val="none"/>
        </w:rPr>
      </w:pPr>
      <w:r w:rsidDel="00000000" w:rsidR="00000000" w:rsidRPr="00000000">
        <w:rPr>
          <w:rtl w:val="0"/>
        </w:rPr>
        <w:t xml:space="preserve">Ámbito 2: Acceso y ambiente de aprendizaje: las normas en este ámbito se centran en el acceso a oportunidades de aprendizaje seguras y relevantes. Estas normas destacan los vínculos fundamentales con otros sectores, tales como salud, agua, saneamiento e higiene (WASH, por sus siglas en inglés), nutrición y vivienda, todo lo cual contribuye a mejorar la seguridad, la confianza y el bienestar físico, cognitivo y psicológico.</w:t>
      </w:r>
      <w:r w:rsidDel="00000000" w:rsidR="00000000" w:rsidRPr="00000000">
        <w:rPr>
          <w:rtl w:val="0"/>
        </w:rPr>
      </w:r>
    </w:p>
    <w:p w:rsidR="00000000" w:rsidDel="00000000" w:rsidP="00000000" w:rsidRDefault="00000000" w:rsidRPr="00000000" w14:paraId="00000020">
      <w:pPr>
        <w:numPr>
          <w:ilvl w:val="0"/>
          <w:numId w:val="2"/>
        </w:numPr>
        <w:ind w:left="720" w:hanging="360"/>
        <w:rPr>
          <w:u w:val="none"/>
        </w:rPr>
      </w:pPr>
      <w:r w:rsidDel="00000000" w:rsidR="00000000" w:rsidRPr="00000000">
        <w:rPr>
          <w:rtl w:val="0"/>
        </w:rPr>
        <w:t xml:space="preserve">Ámbito 3: Enseñanza y aprendizaje: estas normas se centran en elementos críticos que promueven la enseñanza y el aprendizaje efectivos, incluidos los planes de estudios, la capacitación, el desarrollo y el apoyo profesional, los procesos de instrucción y aprendizaje y la evaluación de los resultados del aprendizaje.</w:t>
      </w:r>
      <w:r w:rsidDel="00000000" w:rsidR="00000000" w:rsidRPr="00000000">
        <w:rPr>
          <w:rtl w:val="0"/>
        </w:rPr>
      </w:r>
    </w:p>
    <w:p w:rsidR="00000000" w:rsidDel="00000000" w:rsidP="00000000" w:rsidRDefault="00000000" w:rsidRPr="00000000" w14:paraId="00000021">
      <w:pPr>
        <w:numPr>
          <w:ilvl w:val="0"/>
          <w:numId w:val="2"/>
        </w:numPr>
        <w:ind w:left="720" w:hanging="360"/>
        <w:rPr>
          <w:u w:val="none"/>
        </w:rPr>
      </w:pPr>
      <w:r w:rsidDel="00000000" w:rsidR="00000000" w:rsidRPr="00000000">
        <w:rPr>
          <w:rtl w:val="0"/>
        </w:rPr>
        <w:t xml:space="preserve">Ámbito 4: Docentes y otro personal educativo: las normas en este ámbito abarcan la administración y gestión de los recursos humanos en el campo de la educación. Esto incluye contratación y selección, condiciones de servicio, la supervisión y el apoyo.</w:t>
      </w:r>
      <w:r w:rsidDel="00000000" w:rsidR="00000000" w:rsidRPr="00000000">
        <w:rPr>
          <w:rtl w:val="0"/>
        </w:rPr>
      </w:r>
    </w:p>
    <w:p w:rsidR="00000000" w:rsidDel="00000000" w:rsidP="00000000" w:rsidRDefault="00000000" w:rsidRPr="00000000" w14:paraId="00000022">
      <w:pPr>
        <w:numPr>
          <w:ilvl w:val="0"/>
          <w:numId w:val="2"/>
        </w:numPr>
        <w:ind w:left="720" w:hanging="360"/>
        <w:rPr>
          <w:u w:val="none"/>
        </w:rPr>
      </w:pPr>
      <w:r w:rsidDel="00000000" w:rsidR="00000000" w:rsidRPr="00000000">
        <w:rPr>
          <w:rtl w:val="0"/>
        </w:rPr>
        <w:t xml:space="preserve">Ámbito 5: Política educativa: las normas en este ámbito se centran en la formulación y promulgación de políticas, la planificación y la ejecución.</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Debido al número variable de equipos en los distintos ámbitos, en caso de que no podamos asignarle el ámbito de su primera elección, ¿cuál es el ámbito de su segunda elección?</w:t>
      </w:r>
    </w:p>
    <w:p w:rsidR="00000000" w:rsidDel="00000000" w:rsidP="00000000" w:rsidRDefault="00000000" w:rsidRPr="00000000" w14:paraId="00000025">
      <w:pPr>
        <w:numPr>
          <w:ilvl w:val="0"/>
          <w:numId w:val="3"/>
        </w:numPr>
        <w:ind w:left="720" w:hanging="360"/>
        <w:rPr>
          <w:u w:val="none"/>
        </w:rPr>
      </w:pPr>
      <w:r w:rsidDel="00000000" w:rsidR="00000000" w:rsidRPr="00000000">
        <w:rPr>
          <w:rtl w:val="0"/>
        </w:rPr>
        <w:t xml:space="preserve">Ámbito 2: Acceso y ambiente de aprendizaje: las normas en este ámbito se centran en el acceso a oportunidades de aprendizaje seguras y relevantes. Estas normas destacan los vínculos fundamentales con otros sectores, tales como salud, agua, saneamiento e higiene (WASH, por sus siglas en inglés), nutrición y vivienda, todo lo cual contribuye a mejorar la seguridad, la confianza y el bienestar físico, cognitivo y psicológico.</w:t>
      </w:r>
      <w:r w:rsidDel="00000000" w:rsidR="00000000" w:rsidRPr="00000000">
        <w:rPr>
          <w:rtl w:val="0"/>
        </w:rPr>
      </w:r>
    </w:p>
    <w:p w:rsidR="00000000" w:rsidDel="00000000" w:rsidP="00000000" w:rsidRDefault="00000000" w:rsidRPr="00000000" w14:paraId="00000026">
      <w:pPr>
        <w:numPr>
          <w:ilvl w:val="0"/>
          <w:numId w:val="3"/>
        </w:numPr>
        <w:ind w:left="720" w:hanging="360"/>
        <w:rPr>
          <w:u w:val="none"/>
        </w:rPr>
      </w:pPr>
      <w:r w:rsidDel="00000000" w:rsidR="00000000" w:rsidRPr="00000000">
        <w:rPr>
          <w:rtl w:val="0"/>
        </w:rPr>
        <w:t xml:space="preserve">Ámbito 3: Enseñanza y aprendizaje: estas normas se centran en elementos críticos que promueven la enseñanza y el aprendizaje efectivos, incluidos los planes de estudios, la capacitación, el desarrollo y el apoyo profesional, los procesos de instrucción y aprendizaje y la evaluación de los resultados del aprendizaje.</w:t>
      </w:r>
      <w:r w:rsidDel="00000000" w:rsidR="00000000" w:rsidRPr="00000000">
        <w:rPr>
          <w:rtl w:val="0"/>
        </w:rPr>
      </w:r>
    </w:p>
    <w:p w:rsidR="00000000" w:rsidDel="00000000" w:rsidP="00000000" w:rsidRDefault="00000000" w:rsidRPr="00000000" w14:paraId="00000027">
      <w:pPr>
        <w:numPr>
          <w:ilvl w:val="0"/>
          <w:numId w:val="3"/>
        </w:numPr>
        <w:ind w:left="720" w:hanging="360"/>
        <w:rPr>
          <w:u w:val="none"/>
        </w:rPr>
      </w:pPr>
      <w:r w:rsidDel="00000000" w:rsidR="00000000" w:rsidRPr="00000000">
        <w:rPr>
          <w:rtl w:val="0"/>
        </w:rPr>
        <w:t xml:space="preserve">Ámbito 4: Docentes y otro personal educativo: las normas en este ámbito abarcan la administración y gestión de los recursos humanos en el campo de la educación. Esto incluye contratación y selección, condiciones de servicio, la supervisión y el apoyo.</w:t>
      </w:r>
      <w:r w:rsidDel="00000000" w:rsidR="00000000" w:rsidRPr="00000000">
        <w:rPr>
          <w:rtl w:val="0"/>
        </w:rPr>
      </w:r>
    </w:p>
    <w:p w:rsidR="00000000" w:rsidDel="00000000" w:rsidP="00000000" w:rsidRDefault="00000000" w:rsidRPr="00000000" w14:paraId="00000028">
      <w:pPr>
        <w:numPr>
          <w:ilvl w:val="0"/>
          <w:numId w:val="3"/>
        </w:numPr>
        <w:ind w:left="720" w:hanging="360"/>
        <w:rPr>
          <w:u w:val="none"/>
        </w:rPr>
      </w:pPr>
      <w:r w:rsidDel="00000000" w:rsidR="00000000" w:rsidRPr="00000000">
        <w:rPr>
          <w:rtl w:val="0"/>
        </w:rPr>
        <w:t xml:space="preserve">Ámbito 5: Política educativa: las normas en este ámbito se centran en la formulación y promulgación de políticas, la planificación y la ejecución.</w:t>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*¿En qué idioma puede participar mejor?</w:t>
      </w:r>
    </w:p>
    <w:p w:rsidR="00000000" w:rsidDel="00000000" w:rsidP="00000000" w:rsidRDefault="00000000" w:rsidRPr="00000000" w14:paraId="0000002B">
      <w:pPr>
        <w:numPr>
          <w:ilvl w:val="0"/>
          <w:numId w:val="1"/>
        </w:numPr>
        <w:ind w:left="1440" w:hanging="360"/>
        <w:rPr>
          <w:highlight w:val="yellow"/>
          <w:u w:val="none"/>
        </w:rPr>
      </w:pPr>
      <w:r w:rsidDel="00000000" w:rsidR="00000000" w:rsidRPr="00000000">
        <w:rPr>
          <w:highlight w:val="yellow"/>
          <w:rtl w:val="0"/>
        </w:rPr>
        <w:t xml:space="preserve">[INSERTAR OPCIONES DE IDIOMA PARA EL CONTEXTO]</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¿Tiene algún requerimiento dietético que debamos conocer?</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¿Tiene alguna discapacidad que debamos considerar al planificar el taller? ¿Qué podemos hacer para apoyar su plena participación en el taller?</w:t>
      </w:r>
    </w:p>
    <w:sectPr>
      <w:pgSz w:h="15840" w:w="12240" w:orient="portrait"/>
      <w:pgMar w:bottom="1080" w:top="108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ul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uli" w:cs="Muli" w:eastAsia="Muli" w:hAnsi="Muli"/>
        <w:sz w:val="22"/>
        <w:szCs w:val="22"/>
        <w:lang w:val="es-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b w:val="1"/>
      <w:sz w:val="26"/>
      <w:szCs w:val="26"/>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b w:val="1"/>
      <w:sz w:val="26"/>
      <w:szCs w:val="26"/>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inee.org/es/recursos/nota-de-orientacion-para-el-bienestar-del-docente-en-situaciones-de-emergencia" TargetMode="External"/><Relationship Id="rId8" Type="http://schemas.openxmlformats.org/officeDocument/2006/relationships/hyperlink" Target="https://inee.org/es/normas-minim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vo06wVNaP/+nQCD/ujciaWoHBw==">CgMxLjA4AHIhMVZta3RfT3pzM1hMbUxHS3Z6MVg0bUgxY21hbFNkZ3ly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