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30"/>
        <w:jc w:val="both"/>
        <w:rPr>
          <w:rFonts w:ascii="Muli" w:cs="Muli" w:eastAsia="Muli" w:hAnsi="Muli"/>
          <w:i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Muli" w:cs="Muli" w:eastAsia="Muli" w:hAnsi="Muli"/>
          <w:b w:val="1"/>
          <w:sz w:val="28"/>
          <w:szCs w:val="28"/>
        </w:rPr>
      </w:pPr>
      <w:r w:rsidDel="00000000" w:rsidR="00000000" w:rsidRPr="00000000">
        <w:rPr>
          <w:rFonts w:ascii="Muli" w:cs="Muli" w:eastAsia="Muli" w:hAnsi="Muli"/>
          <w:b w:val="1"/>
          <w:sz w:val="28"/>
          <w:szCs w:val="28"/>
          <w:rtl w:val="0"/>
        </w:rPr>
        <w:t xml:space="preserve">Documento de enquadramento regional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990"/>
        <w:rPr>
          <w:rFonts w:ascii="Muli" w:cs="Muli" w:eastAsia="Muli" w:hAnsi="Mul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0"/>
        </w:numPr>
        <w:ind w:left="720" w:right="-990" w:hanging="360"/>
        <w:rPr/>
      </w:pP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0"/>
        </w:rPr>
        <w:t xml:space="preserve">Enquadramento de </w:t>
      </w: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0"/>
        </w:rPr>
        <w:t xml:space="preserve"> para o bem-estar de professoras/es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uli" w:cs="Muli" w:eastAsia="Muli" w:hAnsi="Muli"/>
        </w:rPr>
      </w:pPr>
      <w:r w:rsidDel="00000000" w:rsidR="00000000" w:rsidRPr="00000000">
        <w:rPr>
          <w:rFonts w:ascii="Muli" w:cs="Muli" w:eastAsia="Muli" w:hAnsi="Muli"/>
          <w:rtl w:val="0"/>
        </w:rPr>
        <w:t xml:space="preserve">O quadro apresentado a seguir é um primeiro passo no esforço para melhorar o bem-estar de professoras/es em </w:t>
      </w:r>
      <w:r w:rsidDel="00000000" w:rsidR="00000000" w:rsidRPr="00000000">
        <w:rPr>
          <w:rFonts w:ascii="Muli" w:cs="Muli" w:eastAsia="Muli" w:hAnsi="Muli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rtl w:val="0"/>
        </w:rPr>
        <w:t xml:space="preserve">. É o resultado de um </w:t>
      </w:r>
      <w:r w:rsidDel="00000000" w:rsidR="00000000" w:rsidRPr="00000000">
        <w:rPr>
          <w:rFonts w:ascii="Muli" w:cs="Muli" w:eastAsia="Muli" w:hAnsi="Muli"/>
          <w:i w:val="1"/>
          <w:rtl w:val="0"/>
        </w:rPr>
        <w:t xml:space="preserve">workshop </w:t>
      </w:r>
      <w:r w:rsidDel="00000000" w:rsidR="00000000" w:rsidRPr="00000000">
        <w:rPr>
          <w:rFonts w:ascii="Muli" w:cs="Muli" w:eastAsia="Muli" w:hAnsi="Muli"/>
          <w:rtl w:val="0"/>
        </w:rPr>
        <w:t xml:space="preserve">de dois dias focado nos desafios e nos obstáculos para melhorar o bem-estar dessas/es profissionais. Nele, documentamos a voz coletiva, as experiências e as aspirações das/os professoras/es, líderes escolares, profissionais e responsáveis políticos em [contexto] e oferecemos normas e soluções que podem melhorar o bem-estar de professoras/es e estudantes). </w:t>
      </w:r>
    </w:p>
    <w:p w:rsidR="00000000" w:rsidDel="00000000" w:rsidP="00000000" w:rsidRDefault="00000000" w:rsidRPr="00000000" w14:paraId="00000009">
      <w:pPr>
        <w:ind w:left="-990" w:right="-990" w:firstLine="0"/>
        <w:jc w:val="both"/>
        <w:rPr>
          <w:rFonts w:ascii="Muli" w:cs="Muli" w:eastAsia="Muli" w:hAnsi="Mul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0"/>
        </w:numPr>
        <w:ind w:left="720" w:right="-990" w:hanging="360"/>
        <w:jc w:val="both"/>
        <w:rPr/>
      </w:pPr>
      <w:r w:rsidDel="00000000" w:rsidR="00000000" w:rsidRPr="00000000">
        <w:rPr>
          <w:rFonts w:ascii="Muli" w:cs="Muli" w:eastAsia="Muli" w:hAnsi="Muli"/>
          <w:b w:val="1"/>
          <w:i w:val="1"/>
          <w:color w:val="1c4587"/>
          <w:sz w:val="24"/>
          <w:szCs w:val="24"/>
          <w:rtl w:val="0"/>
        </w:rPr>
        <w:t xml:space="preserve">Workshop</w:t>
      </w: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0"/>
        </w:rPr>
        <w:t xml:space="preserve"> regional de contextualização, política e prática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right="-990" w:firstLine="0"/>
        <w:jc w:val="both"/>
        <w:rPr>
          <w:rFonts w:ascii="Muli" w:cs="Muli" w:eastAsia="Muli" w:hAnsi="Muli"/>
          <w:b w:val="1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990" w:right="-990" w:firstLine="0"/>
        <w:jc w:val="both"/>
        <w:rPr>
          <w:rFonts w:ascii="Muli" w:cs="Muli" w:eastAsia="Muli" w:hAnsi="Muli"/>
          <w:b w:val="1"/>
          <w:color w:val="1c4587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uli" w:cs="Muli" w:eastAsia="Muli" w:hAnsi="Muli"/>
        </w:rPr>
      </w:pPr>
      <w:bookmarkStart w:colFirst="0" w:colLast="0" w:name="_heading=h.gjdgxs" w:id="0"/>
      <w:bookmarkEnd w:id="0"/>
      <w:r w:rsidDel="00000000" w:rsidR="00000000" w:rsidRPr="00000000">
        <w:rPr>
          <w:rFonts w:ascii="Muli" w:cs="Muli" w:eastAsia="Muli" w:hAnsi="Muli"/>
          <w:rtl w:val="0"/>
        </w:rPr>
        <w:t xml:space="preserve">Em 2019, a </w:t>
      </w:r>
      <w:hyperlink r:id="rId7">
        <w:r w:rsidDel="00000000" w:rsidR="00000000" w:rsidRPr="00000000">
          <w:rPr>
            <w:rFonts w:ascii="Muli" w:cs="Muli" w:eastAsia="Muli" w:hAnsi="Muli"/>
            <w:color w:val="1155cc"/>
            <w:u w:val="single"/>
            <w:rtl w:val="0"/>
          </w:rPr>
          <w:t xml:space="preserve">Análise do panorama do bem-estar de professoras e professoras</w:t>
        </w:r>
      </w:hyperlink>
      <w:r w:rsidDel="00000000" w:rsidR="00000000" w:rsidRPr="00000000">
        <w:rPr>
          <w:rFonts w:ascii="Muli" w:cs="Muli" w:eastAsia="Muli" w:hAnsi="Muli"/>
          <w:rtl w:val="0"/>
        </w:rPr>
        <w:t xml:space="preserve"> apresentou um quadro baseado em pesquisas que permitiu à comunidade da educação em contextos de emergência conceituar plenamente a importância do bem-estar de professoras/es em contextos de crise. Delineou também até que ponto as necessidades em matéria de saúde mental e de bem-estar das/os professoras/es foram negligenciadas e subestimadas em um grande número de situações, inclusive nas crises mais desafiadoras e prolongadas do mundo. Com base nesta publicação inicial, com o apoio generoso do fundo A Educação Não Pode Esperar (Education Cannot Wait, ECW), a Rede Interinstitucional para a Educação em Situação de Emergência (INEE) produziu, depois, duas publicações que permitiram à comunidade da educação em situações de emergência (a) estar ciente da disponibilidade de recursos e programas focados no bem-estar de professoras/es; (b) compreender até que ponto esses recursos e programas eram (ou não) representativos e apropriados para as realidades sociais, culturais e económicas das/os professoras/es; e (c) oferecer princípios e recomendações claros, coerentes e acionáveis para melhorar o bem-estar de professoras/es em contextos de emergência. Estes documentos são o </w:t>
      </w:r>
      <w:hyperlink r:id="rId8">
        <w:r w:rsidDel="00000000" w:rsidR="00000000" w:rsidRPr="00000000">
          <w:rPr>
            <w:rFonts w:ascii="Muli" w:cs="Muli" w:eastAsia="Muli" w:hAnsi="Muli"/>
            <w:color w:val="1155cc"/>
            <w:u w:val="single"/>
            <w:rtl w:val="0"/>
          </w:rPr>
          <w:t xml:space="preserve">Bem-estar de professores e professoras em contextos de emergência: Mapeamento de recursos e Análise de lacunas </w:t>
        </w:r>
      </w:hyperlink>
      <w:r w:rsidDel="00000000" w:rsidR="00000000" w:rsidRPr="00000000">
        <w:rPr>
          <w:rFonts w:ascii="Muli" w:cs="Muli" w:eastAsia="Muli" w:hAnsi="Muli"/>
          <w:rtl w:val="0"/>
        </w:rPr>
        <w:t xml:space="preserve">e a </w:t>
      </w:r>
      <w:hyperlink r:id="rId9">
        <w:r w:rsidDel="00000000" w:rsidR="00000000" w:rsidRPr="00000000">
          <w:rPr>
            <w:rFonts w:ascii="Muli" w:cs="Muli" w:eastAsia="Muli" w:hAnsi="Muli"/>
            <w:color w:val="1155cc"/>
            <w:u w:val="single"/>
            <w:rtl w:val="0"/>
          </w:rPr>
          <w:t xml:space="preserve">Nota de Orientação para o bem-estar de professores e professoras em contextos de emergência</w:t>
        </w:r>
      </w:hyperlink>
      <w:r w:rsidDel="00000000" w:rsidR="00000000" w:rsidRPr="00000000">
        <w:rPr>
          <w:rFonts w:ascii="Muli" w:cs="Muli" w:eastAsia="Muli" w:hAnsi="Muli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Muli" w:cs="Muli" w:eastAsia="Muli" w:hAnsi="Muli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uli" w:cs="Muli" w:eastAsia="Muli" w:hAnsi="Muli"/>
        </w:rPr>
      </w:pPr>
      <w:bookmarkStart w:colFirst="0" w:colLast="0" w:name="_heading=h.1fob9te" w:id="2"/>
      <w:bookmarkEnd w:id="2"/>
      <w:r w:rsidDel="00000000" w:rsidR="00000000" w:rsidRPr="00000000">
        <w:rPr>
          <w:rFonts w:ascii="Muli" w:cs="Muli" w:eastAsia="Muli" w:hAnsi="Muli"/>
          <w:rtl w:val="0"/>
        </w:rPr>
        <w:t xml:space="preserve">Em </w:t>
      </w:r>
      <w:r w:rsidDel="00000000" w:rsidR="00000000" w:rsidRPr="00000000">
        <w:rPr>
          <w:rFonts w:ascii="Muli" w:cs="Muli" w:eastAsia="Muli" w:hAnsi="Muli"/>
          <w:highlight w:val="yellow"/>
          <w:rtl w:val="0"/>
        </w:rPr>
        <w:t xml:space="preserve">[DATA]</w:t>
      </w:r>
      <w:r w:rsidDel="00000000" w:rsidR="00000000" w:rsidRPr="00000000">
        <w:rPr>
          <w:rFonts w:ascii="Muli" w:cs="Muli" w:eastAsia="Muli" w:hAnsi="Muli"/>
          <w:rtl w:val="0"/>
        </w:rPr>
        <w:t xml:space="preserve">, mais de </w:t>
      </w:r>
      <w:r w:rsidDel="00000000" w:rsidR="00000000" w:rsidRPr="00000000">
        <w:rPr>
          <w:rFonts w:ascii="Muli" w:cs="Muli" w:eastAsia="Muli" w:hAnsi="Muli"/>
          <w:highlight w:val="yellow"/>
          <w:rtl w:val="0"/>
        </w:rPr>
        <w:t xml:space="preserve">[NÚMERO]</w:t>
      </w:r>
      <w:r w:rsidDel="00000000" w:rsidR="00000000" w:rsidRPr="00000000">
        <w:rPr>
          <w:rFonts w:ascii="Muli" w:cs="Muli" w:eastAsia="Muli" w:hAnsi="Muli"/>
          <w:rtl w:val="0"/>
        </w:rPr>
        <w:t xml:space="preserve"> representantes do governo, agências das Nações Unidas, organizações não governamentais internacionais, organizações da sociedade civil e escolas reuniram-se em</w:t>
      </w:r>
      <w:r w:rsidDel="00000000" w:rsidR="00000000" w:rsidRPr="00000000">
        <w:rPr>
          <w:rFonts w:ascii="Muli" w:cs="Muli" w:eastAsia="Muli" w:hAnsi="Muli"/>
          <w:highlight w:val="yellow"/>
          <w:rtl w:val="0"/>
        </w:rPr>
        <w:t xml:space="preserve">[LOCAL]</w:t>
      </w:r>
      <w:r w:rsidDel="00000000" w:rsidR="00000000" w:rsidRPr="00000000">
        <w:rPr>
          <w:rFonts w:ascii="Muli" w:cs="Muli" w:eastAsia="Muli" w:hAnsi="Muli"/>
          <w:rtl w:val="0"/>
        </w:rPr>
        <w:t xml:space="preserve"> para um workshop inédito sobre o bem-estar de professoras/es, que foi cofacilitado por </w:t>
      </w:r>
      <w:r w:rsidDel="00000000" w:rsidR="00000000" w:rsidRPr="00000000">
        <w:rPr>
          <w:rFonts w:ascii="Muli" w:cs="Muli" w:eastAsia="Muli" w:hAnsi="Muli"/>
          <w:highlight w:val="yellow"/>
          <w:rtl w:val="0"/>
        </w:rPr>
        <w:t xml:space="preserve">[ORGANIZADORES].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Muli" w:cs="Muli" w:eastAsia="Muli" w:hAnsi="Muli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uli" w:cs="Muli" w:eastAsia="Muli" w:hAnsi="Muli"/>
        </w:rPr>
      </w:pPr>
      <w:bookmarkStart w:colFirst="0" w:colLast="0" w:name="_heading=h.2et92p0" w:id="4"/>
      <w:bookmarkEnd w:id="4"/>
      <w:r w:rsidDel="00000000" w:rsidR="00000000" w:rsidRPr="00000000">
        <w:rPr>
          <w:rFonts w:ascii="Muli" w:cs="Muli" w:eastAsia="Muli" w:hAnsi="Muli"/>
          <w:rtl w:val="0"/>
        </w:rPr>
        <w:t xml:space="preserve">Este </w:t>
      </w:r>
      <w:r w:rsidDel="00000000" w:rsidR="00000000" w:rsidRPr="00000000">
        <w:rPr>
          <w:rFonts w:ascii="Muli" w:cs="Muli" w:eastAsia="Muli" w:hAnsi="Muli"/>
          <w:i w:val="1"/>
          <w:rtl w:val="0"/>
        </w:rPr>
        <w:t xml:space="preserve">workshop</w:t>
      </w:r>
      <w:r w:rsidDel="00000000" w:rsidR="00000000" w:rsidRPr="00000000">
        <w:rPr>
          <w:rFonts w:ascii="Muli" w:cs="Muli" w:eastAsia="Muli" w:hAnsi="Muli"/>
          <w:rtl w:val="0"/>
        </w:rPr>
        <w:t xml:space="preserve"> apresentou às/aos participantes as publicações mencionadas e forneceu-lhes tempo, espaço e conexões pessoais para explorar e definir o conceito de bem-estar de professoras/es para [contexto]: </w:t>
      </w:r>
    </w:p>
    <w:p w:rsidR="00000000" w:rsidDel="00000000" w:rsidP="00000000" w:rsidRDefault="00000000" w:rsidRPr="00000000" w14:paraId="00000012">
      <w:pPr>
        <w:numPr>
          <w:ilvl w:val="0"/>
          <w:numId w:val="16"/>
        </w:numPr>
        <w:ind w:left="720" w:hanging="360"/>
        <w:jc w:val="both"/>
        <w:rPr>
          <w:rFonts w:ascii="Muli" w:cs="Muli" w:eastAsia="Muli" w:hAnsi="Muli"/>
        </w:rPr>
      </w:pPr>
      <w:bookmarkStart w:colFirst="0" w:colLast="0" w:name="_heading=h.tyjcwt" w:id="5"/>
      <w:bookmarkEnd w:id="5"/>
      <w:r w:rsidDel="00000000" w:rsidR="00000000" w:rsidRPr="00000000">
        <w:rPr>
          <w:rFonts w:ascii="Muli" w:cs="Muli" w:eastAsia="Muli" w:hAnsi="Muli"/>
          <w:rtl w:val="0"/>
        </w:rPr>
        <w:t xml:space="preserve">As/Os participantes aprenderam sobre bem-estar de professoras/es e a análise das lacunas, para identificar, assim, as áreas de prioridade em termos de desenvolvimento e implementação das abordagens informadas pela cultura e pelo contexto para as políticas e as práticas em matéria de bem-estar de professoras/es. </w:t>
      </w:r>
    </w:p>
    <w:p w:rsidR="00000000" w:rsidDel="00000000" w:rsidP="00000000" w:rsidRDefault="00000000" w:rsidRPr="00000000" w14:paraId="00000013">
      <w:pPr>
        <w:numPr>
          <w:ilvl w:val="0"/>
          <w:numId w:val="16"/>
        </w:numPr>
        <w:ind w:left="720" w:hanging="360"/>
        <w:jc w:val="both"/>
        <w:rPr>
          <w:rFonts w:ascii="Muli" w:cs="Muli" w:eastAsia="Muli" w:hAnsi="Muli"/>
        </w:rPr>
      </w:pPr>
      <w:bookmarkStart w:colFirst="0" w:colLast="0" w:name="_heading=h.3dy6vkm" w:id="6"/>
      <w:bookmarkEnd w:id="6"/>
      <w:r w:rsidDel="00000000" w:rsidR="00000000" w:rsidRPr="00000000">
        <w:rPr>
          <w:rFonts w:ascii="Muli" w:cs="Muli" w:eastAsia="Muli" w:hAnsi="Muli"/>
          <w:rtl w:val="0"/>
        </w:rPr>
        <w:t xml:space="preserve">Elas/es trabalharam com colegas para descobrir os princípios e os domínios descritos na Nota de Orientação para o bem-estar de professores e professoras, e para identificar, selecionar e adaptar as recomendações prioritárias que melhor se adequam às próprias realidades.</w:t>
      </w:r>
    </w:p>
    <w:p w:rsidR="00000000" w:rsidDel="00000000" w:rsidP="00000000" w:rsidRDefault="00000000" w:rsidRPr="00000000" w14:paraId="00000014">
      <w:pPr>
        <w:numPr>
          <w:ilvl w:val="0"/>
          <w:numId w:val="16"/>
        </w:numPr>
        <w:ind w:left="720" w:hanging="360"/>
        <w:jc w:val="both"/>
        <w:rPr>
          <w:rFonts w:ascii="Muli" w:cs="Muli" w:eastAsia="Muli" w:hAnsi="Muli"/>
        </w:rPr>
      </w:pPr>
      <w:bookmarkStart w:colFirst="0" w:colLast="0" w:name="_heading=h.1t3h5sf" w:id="7"/>
      <w:bookmarkEnd w:id="7"/>
      <w:r w:rsidDel="00000000" w:rsidR="00000000" w:rsidRPr="00000000">
        <w:rPr>
          <w:rFonts w:ascii="Muli" w:cs="Muli" w:eastAsia="Muli" w:hAnsi="Muli"/>
          <w:rtl w:val="0"/>
        </w:rPr>
        <w:t xml:space="preserve">Elaboraram quatro planos de ação específicos para o contexto que representavam cada um dos domínios dos Requisitos Mínimos (RM) da INEE e delinearam as políticas, as práticas e as partes interessadas que devem trabalhar juntas para melhorar o bem-estar de professoras/es em suas escolas e comunidades.</w:t>
      </w:r>
    </w:p>
    <w:p w:rsidR="00000000" w:rsidDel="00000000" w:rsidP="00000000" w:rsidRDefault="00000000" w:rsidRPr="00000000" w14:paraId="00000015">
      <w:pPr>
        <w:ind w:left="720" w:firstLine="0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0"/>
        </w:numPr>
        <w:ind w:left="720" w:right="-990" w:hanging="360"/>
        <w:jc w:val="both"/>
        <w:rPr/>
      </w:pP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0"/>
        </w:rPr>
        <w:t xml:space="preserve">Como utilizar este documento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450" w:firstLine="0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Muli" w:cs="Muli" w:eastAsia="Muli" w:hAnsi="Muli"/>
        </w:rPr>
      </w:pPr>
      <w:bookmarkStart w:colFirst="0" w:colLast="0" w:name="_heading=h.4d34og8" w:id="8"/>
      <w:bookmarkEnd w:id="8"/>
      <w:r w:rsidDel="00000000" w:rsidR="00000000" w:rsidRPr="00000000">
        <w:rPr>
          <w:rFonts w:ascii="Muli" w:cs="Muli" w:eastAsia="Muli" w:hAnsi="Muli"/>
          <w:rtl w:val="0"/>
        </w:rPr>
        <w:t xml:space="preserve">Este documento descreve primeiro o quadro conceptual para o bem-estar de professoras/es, conforme previsto pela INEE na Nota de Orientação para o bem-estar de professores e professoras. Este quadro, que visa ajudar a transferir as discussões e as recomendações do </w:t>
      </w:r>
      <w:r w:rsidDel="00000000" w:rsidR="00000000" w:rsidRPr="00000000">
        <w:rPr>
          <w:rFonts w:ascii="Muli" w:cs="Muli" w:eastAsia="Muli" w:hAnsi="Muli"/>
          <w:i w:val="1"/>
          <w:rtl w:val="0"/>
        </w:rPr>
        <w:t xml:space="preserve">workshop</w:t>
      </w:r>
      <w:r w:rsidDel="00000000" w:rsidR="00000000" w:rsidRPr="00000000">
        <w:rPr>
          <w:rFonts w:ascii="Muli" w:cs="Muli" w:eastAsia="Muli" w:hAnsi="Muli"/>
          <w:rtl w:val="0"/>
        </w:rPr>
        <w:t xml:space="preserve"> sobre o bem-estar de professoras/es para as políticas e os programas acionáveis em [contexto], inclui as estratégias e as recomendações que as/os participantes do </w:t>
      </w:r>
      <w:r w:rsidDel="00000000" w:rsidR="00000000" w:rsidRPr="00000000">
        <w:rPr>
          <w:rFonts w:ascii="Muli" w:cs="Muli" w:eastAsia="Muli" w:hAnsi="Muli"/>
          <w:i w:val="1"/>
          <w:rtl w:val="0"/>
        </w:rPr>
        <w:t xml:space="preserve">workshop</w:t>
      </w:r>
      <w:r w:rsidDel="00000000" w:rsidR="00000000" w:rsidRPr="00000000">
        <w:rPr>
          <w:rFonts w:ascii="Muli" w:cs="Muli" w:eastAsia="Muli" w:hAnsi="Muli"/>
          <w:rtl w:val="0"/>
        </w:rPr>
        <w:t xml:space="preserve"> identificaram como as prioridades mais urgentes e viáveis para </w:t>
      </w:r>
      <w:r w:rsidDel="00000000" w:rsidR="00000000" w:rsidRPr="00000000">
        <w:rPr>
          <w:rFonts w:ascii="Muli" w:cs="Muli" w:eastAsia="Muli" w:hAnsi="Muli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rtl w:val="0"/>
        </w:rPr>
        <w:t xml:space="preserve">. Por limitações de tempo durante o </w:t>
      </w:r>
      <w:r w:rsidDel="00000000" w:rsidR="00000000" w:rsidRPr="00000000">
        <w:rPr>
          <w:rFonts w:ascii="Muli" w:cs="Muli" w:eastAsia="Muli" w:hAnsi="Muli"/>
          <w:i w:val="1"/>
          <w:rtl w:val="0"/>
        </w:rPr>
        <w:t xml:space="preserve">workshop</w:t>
      </w:r>
      <w:r w:rsidDel="00000000" w:rsidR="00000000" w:rsidRPr="00000000">
        <w:rPr>
          <w:rFonts w:ascii="Muli" w:cs="Muli" w:eastAsia="Muli" w:hAnsi="Muli"/>
          <w:rtl w:val="0"/>
        </w:rPr>
        <w:t xml:space="preserve">, as/os facilitadoras/es atualizaram as recomendações coletadas por meio do processo de planeamento da ação com detalhes, especificidade e clareza adicionais. </w:t>
      </w:r>
    </w:p>
    <w:p w:rsidR="00000000" w:rsidDel="00000000" w:rsidP="00000000" w:rsidRDefault="00000000" w:rsidRPr="00000000" w14:paraId="00000019">
      <w:pPr>
        <w:jc w:val="both"/>
        <w:rPr>
          <w:rFonts w:ascii="Muli" w:cs="Muli" w:eastAsia="Muli" w:hAnsi="Muli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Muli" w:cs="Muli" w:eastAsia="Muli" w:hAnsi="Muli"/>
        </w:rPr>
      </w:pPr>
      <w:bookmarkStart w:colFirst="0" w:colLast="0" w:name="_heading=h.17dp8vu" w:id="10"/>
      <w:bookmarkEnd w:id="10"/>
      <w:r w:rsidDel="00000000" w:rsidR="00000000" w:rsidRPr="00000000">
        <w:rPr>
          <w:rFonts w:ascii="Muli" w:cs="Muli" w:eastAsia="Muli" w:hAnsi="Muli"/>
          <w:rtl w:val="0"/>
        </w:rPr>
        <w:t xml:space="preserve">Este documento destina-se a ser utilizado ao nível do Cluster de Educação e do Ministério da Educação. Deve ajudar a estruturar e informar as discussões e o planeamento de políticas e programas para a oferta de apoio e serviços que melhorem o bem-estar de professoras/es em situações de emergência.  </w:t>
      </w:r>
    </w:p>
    <w:p w:rsidR="00000000" w:rsidDel="00000000" w:rsidP="00000000" w:rsidRDefault="00000000" w:rsidRPr="00000000" w14:paraId="0000001B">
      <w:pPr>
        <w:ind w:left="-990" w:right="-990" w:firstLine="0"/>
        <w:jc w:val="both"/>
        <w:rPr>
          <w:rFonts w:ascii="Muli" w:cs="Muli" w:eastAsia="Muli" w:hAnsi="Mul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990" w:right="120" w:firstLine="0"/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0"/>
        </w:numPr>
        <w:ind w:left="720" w:right="30" w:hanging="360"/>
        <w:rPr/>
      </w:pP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0"/>
        </w:rPr>
        <w:t xml:space="preserve">Enquadramento conceitual: Bem-estar de professoras/es em contextos de emergência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right="-990" w:firstLine="0"/>
        <w:rPr>
          <w:rFonts w:ascii="Muli" w:cs="Muli" w:eastAsia="Muli" w:hAnsi="Muli"/>
          <w:b w:val="1"/>
          <w:color w:val="1c458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Muli" w:cs="Muli" w:eastAsia="Muli" w:hAnsi="Muli"/>
        </w:rPr>
      </w:pPr>
      <w:r w:rsidDel="00000000" w:rsidR="00000000" w:rsidRPr="00000000">
        <w:rPr>
          <w:rFonts w:ascii="Muli" w:cs="Muli" w:eastAsia="Muli" w:hAnsi="Muli"/>
          <w:b w:val="1"/>
          <w:i w:val="1"/>
          <w:color w:val="1c4587"/>
          <w:sz w:val="20"/>
          <w:szCs w:val="20"/>
        </w:rPr>
        <w:drawing>
          <wp:inline distB="114300" distT="114300" distL="114300" distR="114300">
            <wp:extent cx="5295682" cy="7462838"/>
            <wp:effectExtent b="0" l="0" r="0" t="0"/>
            <wp:docPr id="122223295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95682" cy="7462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Muli" w:cs="Muli" w:eastAsia="Muli" w:hAnsi="Muli"/>
        </w:rPr>
      </w:pPr>
      <w:r w:rsidDel="00000000" w:rsidR="00000000" w:rsidRPr="00000000">
        <w:rPr>
          <w:rFonts w:ascii="Muli" w:cs="Muli" w:eastAsia="Muli" w:hAnsi="Muli"/>
          <w:rtl w:val="0"/>
        </w:rPr>
        <w:t xml:space="preserve">Elaboramos este quadro para informar uma abordagem comum, coerente e coesa do planeamento das necessidades do bem-estar de professoras/es em situação de emergência a nível local, nacional e global. Nele, descrevemos como várias estratégias de resposta educacional em situações de emergência podem priorizar as necessidades do bem-estar de professoras/es de maneira mais eficaz. Conforme ilustrado na imagem, o quadro define primeiro três princípios de serviço em matéria de bem-estar de professoras/es. Em seguida, descreve os cinco domínios dos RM da INEE, dentro dos quais existe uma série de normas que definem as prioridades específicas do bem-estar de professoras. Por fim, categoriza essas prioridades nas três fases de uma emergência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—</w:t>
      </w:r>
      <w:r w:rsidDel="00000000" w:rsidR="00000000" w:rsidRPr="00000000">
        <w:rPr>
          <w:rFonts w:ascii="Muli" w:cs="Muli" w:eastAsia="Muli" w:hAnsi="Muli"/>
          <w:rtl w:val="0"/>
        </w:rPr>
        <w:t xml:space="preserve"> preparação, resposta e recuperação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— </w:t>
      </w:r>
      <w:r w:rsidDel="00000000" w:rsidR="00000000" w:rsidRPr="00000000">
        <w:rPr>
          <w:rFonts w:ascii="Muli" w:cs="Muli" w:eastAsia="Muli" w:hAnsi="Muli"/>
          <w:rtl w:val="0"/>
        </w:rPr>
        <w:t xml:space="preserve">e mostra que o bem-estar de professoras/es requer uma abordagem intersetorial e de múltiplos atores.</w:t>
      </w:r>
    </w:p>
    <w:p w:rsidR="00000000" w:rsidDel="00000000" w:rsidP="00000000" w:rsidRDefault="00000000" w:rsidRPr="00000000" w14:paraId="00000021">
      <w:pPr>
        <w:jc w:val="both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Muli" w:cs="Muli" w:eastAsia="Muli" w:hAnsi="Muli"/>
          <w:b w:val="1"/>
          <w:color w:val="1c4587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Muli" w:cs="Muli" w:eastAsia="Muli" w:hAnsi="Muli"/>
          <w:b w:val="1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0"/>
        </w:numPr>
        <w:ind w:left="720" w:right="-990" w:hanging="360"/>
        <w:rPr>
          <w:rFonts w:ascii="Muli" w:cs="Muli" w:eastAsia="Muli" w:hAnsi="Muli"/>
        </w:rPr>
      </w:pP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rtl w:val="0"/>
        </w:rPr>
        <w:t xml:space="preserve">Políticas e práticas recomendadas para </w:t>
      </w:r>
      <w:r w:rsidDel="00000000" w:rsidR="00000000" w:rsidRPr="00000000">
        <w:rPr>
          <w:rFonts w:ascii="Muli" w:cs="Muli" w:eastAsia="Muli" w:hAnsi="Muli"/>
          <w:b w:val="1"/>
          <w:color w:val="1c4587"/>
          <w:sz w:val="24"/>
          <w:szCs w:val="24"/>
          <w:highlight w:val="yellow"/>
          <w:rtl w:val="0"/>
        </w:rPr>
        <w:t xml:space="preserve">[contexto]</w:t>
      </w: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5"/>
        <w:gridCol w:w="2325"/>
        <w:gridCol w:w="2640"/>
        <w:gridCol w:w="2805"/>
        <w:tblGridChange w:id="0">
          <w:tblGrid>
            <w:gridCol w:w="1995"/>
            <w:gridCol w:w="2325"/>
            <w:gridCol w:w="2640"/>
            <w:gridCol w:w="28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Estratégia selecionada</w:t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(Grupo 1)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Princípio(s)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Domínio dos RM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Norma(s)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Teoria da mudança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Se…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Logo…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O que levará a …</w:t>
            </w:r>
          </w:p>
        </w:tc>
      </w:tr>
      <w:tr>
        <w:trPr>
          <w:cantSplit w:val="0"/>
          <w:trHeight w:val="1791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4"/>
              </w:numPr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Contributos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9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14"/>
              </w:numPr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</w:t>
            </w:r>
          </w:p>
          <w:p w:rsidR="00000000" w:rsidDel="00000000" w:rsidP="00000000" w:rsidRDefault="00000000" w:rsidRPr="00000000" w14:paraId="0000004B">
            <w:pPr>
              <w:widowControl w:val="0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(curto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2"/>
              </w:numPr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</w:t>
            </w:r>
          </w:p>
          <w:p w:rsidR="00000000" w:rsidDel="00000000" w:rsidP="00000000" w:rsidRDefault="00000000" w:rsidRPr="00000000" w14:paraId="00000057">
            <w:pPr>
              <w:widowControl w:val="0"/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(médio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17"/>
              </w:numPr>
              <w:ind w:left="45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Impacto</w:t>
            </w:r>
          </w:p>
          <w:p w:rsidR="00000000" w:rsidDel="00000000" w:rsidP="00000000" w:rsidRDefault="00000000" w:rsidRPr="00000000" w14:paraId="0000006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(longo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35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2340"/>
        <w:gridCol w:w="2640"/>
        <w:gridCol w:w="2610"/>
        <w:tblGridChange w:id="0">
          <w:tblGrid>
            <w:gridCol w:w="1845"/>
            <w:gridCol w:w="2340"/>
            <w:gridCol w:w="2640"/>
            <w:gridCol w:w="261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Estratégia selecionada</w:t>
            </w:r>
          </w:p>
          <w:p w:rsidR="00000000" w:rsidDel="00000000" w:rsidP="00000000" w:rsidRDefault="00000000" w:rsidRPr="00000000" w14:paraId="0000006A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(Grupo 2)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Muli" w:cs="Muli" w:eastAsia="Muli" w:hAnsi="Muli"/>
                <w:color w:val="ffffff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Princípio(s)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Domínio dos RM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Norma(s)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Teoria da mudança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Se…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Logo…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O que levará a 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2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Contributos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15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 </w:t>
            </w:r>
          </w:p>
          <w:p w:rsidR="00000000" w:rsidDel="00000000" w:rsidP="00000000" w:rsidRDefault="00000000" w:rsidRPr="00000000" w14:paraId="00000094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(curto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5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</w:t>
            </w:r>
          </w:p>
          <w:p w:rsidR="00000000" w:rsidDel="00000000" w:rsidP="00000000" w:rsidRDefault="00000000" w:rsidRPr="00000000" w14:paraId="000000A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(médio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8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Impacto</w:t>
            </w:r>
          </w:p>
          <w:p w:rsidR="00000000" w:rsidDel="00000000" w:rsidP="00000000" w:rsidRDefault="00000000" w:rsidRPr="00000000" w14:paraId="000000AC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(longo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50.0" w:type="dxa"/>
        <w:jc w:val="left"/>
        <w:tblInd w:w="1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2415"/>
        <w:gridCol w:w="2505"/>
        <w:gridCol w:w="2595"/>
        <w:tblGridChange w:id="0">
          <w:tblGrid>
            <w:gridCol w:w="1935"/>
            <w:gridCol w:w="2415"/>
            <w:gridCol w:w="2505"/>
            <w:gridCol w:w="25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Estratégia selecionada</w:t>
            </w:r>
          </w:p>
          <w:p w:rsidR="00000000" w:rsidDel="00000000" w:rsidP="00000000" w:rsidRDefault="00000000" w:rsidRPr="00000000" w14:paraId="000000B7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(Grupo 3)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Princípio(s)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Domínio dos RM 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Norma(s)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Teoria da mudança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Se…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Logo…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O que levará a 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widowControl w:val="0"/>
              <w:numPr>
                <w:ilvl w:val="0"/>
                <w:numId w:val="1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Contributos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numPr>
                <w:ilvl w:val="0"/>
                <w:numId w:val="3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 </w:t>
            </w:r>
          </w:p>
          <w:p w:rsidR="00000000" w:rsidDel="00000000" w:rsidP="00000000" w:rsidRDefault="00000000" w:rsidRPr="00000000" w14:paraId="000000E8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(curto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numPr>
                <w:ilvl w:val="0"/>
                <w:numId w:val="10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</w:t>
            </w:r>
          </w:p>
          <w:p w:rsidR="00000000" w:rsidDel="00000000" w:rsidP="00000000" w:rsidRDefault="00000000" w:rsidRPr="00000000" w14:paraId="000000F2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(médio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11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Impacto</w:t>
            </w:r>
          </w:p>
          <w:p w:rsidR="00000000" w:rsidDel="00000000" w:rsidP="00000000" w:rsidRDefault="00000000" w:rsidRPr="00000000" w14:paraId="000000FB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(longo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F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4">
      <w:pPr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Ind w:w="2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2340"/>
        <w:gridCol w:w="2505"/>
        <w:gridCol w:w="2595"/>
        <w:tblGridChange w:id="0">
          <w:tblGrid>
            <w:gridCol w:w="1905"/>
            <w:gridCol w:w="2340"/>
            <w:gridCol w:w="2505"/>
            <w:gridCol w:w="25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Estratégia selecionada</w:t>
            </w:r>
          </w:p>
          <w:p w:rsidR="00000000" w:rsidDel="00000000" w:rsidP="00000000" w:rsidRDefault="00000000" w:rsidRPr="00000000" w14:paraId="00000107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(Grupo 4)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ind w:left="720" w:firstLine="0"/>
              <w:rPr>
                <w:rFonts w:ascii="Muli" w:cs="Muli" w:eastAsia="Muli" w:hAnsi="Mul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Princípio(s)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Domínio dos RM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Norma(s)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Teoria da mudança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Se…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Logo…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O que levará a 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numPr>
                <w:ilvl w:val="0"/>
                <w:numId w:val="6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Contributos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numPr>
                <w:ilvl w:val="0"/>
                <w:numId w:val="4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 </w:t>
            </w:r>
          </w:p>
          <w:p w:rsidR="00000000" w:rsidDel="00000000" w:rsidP="00000000" w:rsidRDefault="00000000" w:rsidRPr="00000000" w14:paraId="00000136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(curto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numPr>
                <w:ilvl w:val="0"/>
                <w:numId w:val="7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</w:t>
            </w:r>
          </w:p>
          <w:p w:rsidR="00000000" w:rsidDel="00000000" w:rsidP="00000000" w:rsidRDefault="00000000" w:rsidRPr="00000000" w14:paraId="0000013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(médio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21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Impacto</w:t>
            </w:r>
          </w:p>
          <w:p w:rsidR="00000000" w:rsidDel="00000000" w:rsidP="00000000" w:rsidRDefault="00000000" w:rsidRPr="00000000" w14:paraId="00000149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(longo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ind w:right="-990"/>
        <w:rPr>
          <w:rFonts w:ascii="Muli" w:cs="Muli" w:eastAsia="Muli" w:hAnsi="Muli"/>
          <w:b w:val="1"/>
          <w:color w:val="1c458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70.0" w:type="dxa"/>
        <w:jc w:val="left"/>
        <w:tblInd w:w="2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5"/>
        <w:gridCol w:w="2145"/>
        <w:gridCol w:w="2595"/>
        <w:gridCol w:w="2775"/>
        <w:tblGridChange w:id="0">
          <w:tblGrid>
            <w:gridCol w:w="1755"/>
            <w:gridCol w:w="2145"/>
            <w:gridCol w:w="2595"/>
            <w:gridCol w:w="277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Estratégia selecionada</w:t>
            </w:r>
          </w:p>
          <w:p w:rsidR="00000000" w:rsidDel="00000000" w:rsidP="00000000" w:rsidRDefault="00000000" w:rsidRPr="00000000" w14:paraId="00000154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(Grupo 5)</w:t>
            </w:r>
          </w:p>
        </w:tc>
        <w:tc>
          <w:tcPr>
            <w:gridSpan w:val="3"/>
            <w:shd w:fill="1c458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rPr>
                <w:rFonts w:ascii="Muli" w:cs="Muli" w:eastAsia="Muli" w:hAnsi="Muli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widowControl w:val="0"/>
              <w:ind w:left="720" w:firstLine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Princípio(s) 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Domínio dos RM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widowControl w:val="0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widowControl w:val="0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widowControl w:val="0"/>
              <w:rPr>
                <w:rFonts w:ascii="Muli" w:cs="Muli" w:eastAsia="Muli" w:hAnsi="Mul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Norma(s)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Teoria da mudança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Se…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Logo…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O que levará a …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widowControl w:val="0"/>
              <w:numPr>
                <w:ilvl w:val="0"/>
                <w:numId w:val="18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Contributos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numPr>
                <w:ilvl w:val="0"/>
                <w:numId w:val="9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 </w:t>
            </w:r>
          </w:p>
          <w:p w:rsidR="00000000" w:rsidDel="00000000" w:rsidP="00000000" w:rsidRDefault="00000000" w:rsidRPr="00000000" w14:paraId="00000188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(curto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 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numPr>
                <w:ilvl w:val="0"/>
                <w:numId w:val="13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Resultados</w:t>
            </w:r>
          </w:p>
          <w:p w:rsidR="00000000" w:rsidDel="00000000" w:rsidP="00000000" w:rsidRDefault="00000000" w:rsidRPr="00000000" w14:paraId="0000018F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(médio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widowControl w:val="0"/>
              <w:numPr>
                <w:ilvl w:val="0"/>
                <w:numId w:val="19"/>
              </w:numPr>
              <w:ind w:left="360" w:hanging="36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Impacto</w:t>
            </w:r>
          </w:p>
          <w:p w:rsidR="00000000" w:rsidDel="00000000" w:rsidP="00000000" w:rsidRDefault="00000000" w:rsidRPr="00000000" w14:paraId="00000198">
            <w:pPr>
              <w:widowControl w:val="0"/>
              <w:rPr>
                <w:rFonts w:ascii="Muli" w:cs="Muli" w:eastAsia="Muli" w:hAnsi="Muli"/>
                <w:b w:val="1"/>
                <w:color w:val="1c4587"/>
                <w:sz w:val="24"/>
                <w:szCs w:val="24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1c4587"/>
                <w:sz w:val="24"/>
                <w:szCs w:val="24"/>
                <w:rtl w:val="0"/>
              </w:rPr>
              <w:t xml:space="preserve">(longo prazo)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F">
      <w:pPr>
        <w:ind w:right="-990"/>
        <w:rPr/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1080" w:top="1080" w:left="1080" w:right="1080" w:header="431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ul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1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0">
    <w:pPr>
      <w:jc w:val="right"/>
      <w:rPr/>
    </w:pPr>
    <w:r w:rsidDel="00000000" w:rsidR="00000000" w:rsidRPr="00000000">
      <w:rPr/>
      <w:drawing>
        <wp:inline distB="0" distT="0" distL="0" distR="0">
          <wp:extent cx="2358631" cy="327682"/>
          <wp:effectExtent b="0" l="0" r="0" t="0"/>
          <wp:docPr descr="Ícone&#10;&#10;Descrição gerada automaticamente" id="1222232957" name="image1.png"/>
          <a:graphic>
            <a:graphicData uri="http://schemas.openxmlformats.org/drawingml/2006/picture">
              <pic:pic>
                <pic:nvPicPr>
                  <pic:cNvPr descr="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8631" cy="32768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3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2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color w:val="1c4587"/>
        <w:sz w:val="24"/>
        <w:szCs w:val="24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4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DD2154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D2154"/>
  </w:style>
  <w:style w:type="paragraph" w:styleId="Rodap">
    <w:name w:val="footer"/>
    <w:basedOn w:val="Normal"/>
    <w:link w:val="RodapChar"/>
    <w:uiPriority w:val="99"/>
    <w:unhideWhenUsed w:val="1"/>
    <w:rsid w:val="00DD2154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D215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2.png"/><Relationship Id="rId12" Type="http://schemas.openxmlformats.org/officeDocument/2006/relationships/footer" Target="footer1.xml"/><Relationship Id="rId9" Type="http://schemas.openxmlformats.org/officeDocument/2006/relationships/hyperlink" Target="https://inee.org/resources/guidance-note-teacher-wellbeing-emergency-setting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edu-links.org/sites/default/files/media/file/TWB%20Landscape%20Review_June%202019.pdf" TargetMode="External"/><Relationship Id="rId8" Type="http://schemas.openxmlformats.org/officeDocument/2006/relationships/hyperlink" Target="https://inee.org/resources/teacher-wellbeing-resources-mapping-gap-analysis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dJqNQcuAZME0XpYJwk80m511eg==">CgMxLjAyCGguZ2pkZ3hzMgloLjMwajB6bGwyCWguMWZvYjl0ZTIJaC4zem55c2g3MgloLjJldDkycDAyCGgudHlqY3d0MgloLjNkeTZ2a20yCWguMXQzaDVzZjIJaC40ZDM0b2c4MgloLjJzOGV5bzEyCWguMTdkcDh2dTgAciExVm1EdTRsdlVyWmtPUzZRbE1DVmY1cmNWWHV4cVhneEk=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2023-08-01T09:46:00Z</dcterms:created>
  <dc:creator>Maria Fernanda Regis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d1083d5aa464a44ff30576a003e30ffaebc649a6940f12823ae0a4da0a6a2ffd</vt:lpwstr>
  </property>
</Properties>
</file>