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Plano de ação para o bem-estar de professoras/es: </w:t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Domínio 4 – Professores e outros Técnicos de Educação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Requisito(s):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Estratégias:</w:t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Teoria da mudança</w:t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Se ...</w:t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Por conseguinte ...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O que levará a ... 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Ano um &gt;  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Ano dois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Ano três &gt;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(curto prazo)</w:t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(médio prazo)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Impacto (longo prazo)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Processos (iniciação e implementação)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Processos (escala)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Processos (sustentabilidade)</w:t>
            </w:r>
          </w:p>
        </w:tc>
      </w:tr>
      <w:tr>
        <w:trPr>
          <w:cantSplit w:val="0"/>
          <w:trHeight w:val="1932.699999999999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Pessoas e parcerias (conexão e colaboração)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Pessoas e parcerias (coligação e compromisso)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Pessoas e parcerias (coesão e coerência)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Contributos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Contributos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Contributos (recursos)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Medição (o sucesso parece-se com 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Medição (o sucesso parece-se com 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Medição (o sucesso parece-se com ... )</w:t>
            </w:r>
          </w:p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23811" w:orient="landscape"/>
      <w:pgMar w:bottom="195" w:top="1440" w:left="1440" w:right="1440" w:header="576" w:footer="57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jc w:val="right"/>
      <w:rPr/>
    </w:pPr>
    <w:r w:rsidDel="00000000" w:rsidR="00000000" w:rsidRPr="00000000">
      <w:rPr/>
      <w:drawing>
        <wp:inline distB="0" distT="0" distL="0" distR="0">
          <wp:extent cx="4105920" cy="570409"/>
          <wp:effectExtent b="0" l="0" r="0" t="0"/>
          <wp:docPr descr="Ícone&#10;&#10;Descrição gerada automaticamente" id="573143904" name="image1.png"/>
          <a:graphic>
            <a:graphicData uri="http://schemas.openxmlformats.org/drawingml/2006/picture">
              <pic:pic>
                <pic:nvPicPr>
                  <pic:cNvPr descr="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105920" cy="570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8A23C7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A23C7"/>
  </w:style>
  <w:style w:type="paragraph" w:styleId="Rodap">
    <w:name w:val="footer"/>
    <w:basedOn w:val="Normal"/>
    <w:link w:val="RodapChar"/>
    <w:uiPriority w:val="99"/>
    <w:unhideWhenUsed w:val="1"/>
    <w:rsid w:val="008A23C7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A23C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NIgEnrqNdwIzzkt+4HyAuY8D2g==">CgMxLjA4AHIhMUNkN0xuR2tLcF9NazNISDJOaHRFREdsOW4xa0xVbGxy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2023-07-25T16:42:00Z</dcterms:created>
  <dc:creator>Maria Fernanda Regis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f86658954fcf42430e6b8384416456945784fd717154c89d7cd82b753b64d3b8</vt:lpwstr>
  </property>
</Properties>
</file>