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CECCA" w14:textId="77777777" w:rsidR="006C00CE" w:rsidRDefault="006C00CE">
      <w:pPr>
        <w:ind w:left="-900" w:right="-855"/>
      </w:pPr>
    </w:p>
    <w:p w14:paraId="3C74E3EA" w14:textId="77777777" w:rsidR="006C00CE" w:rsidRDefault="00337815">
      <w:pPr>
        <w:ind w:left="-900" w:right="-855"/>
        <w:jc w:val="center"/>
        <w:rPr>
          <w:rFonts w:ascii="Muli" w:eastAsia="Muli" w:hAnsi="Muli" w:cs="Muli"/>
          <w:color w:val="1C4587"/>
          <w:sz w:val="34"/>
          <w:szCs w:val="34"/>
        </w:rPr>
      </w:pPr>
      <w:r>
        <w:rPr>
          <w:rFonts w:ascii="Muli" w:eastAsia="Muli" w:hAnsi="Muli" w:cs="Muli"/>
          <w:color w:val="1C4587"/>
          <w:sz w:val="42"/>
          <w:szCs w:val="42"/>
          <w:lang w:bidi="pt-PT"/>
        </w:rPr>
        <w:t xml:space="preserve">Plano de ação para o bem-estar de professoras/es: </w:t>
      </w:r>
      <w:r>
        <w:rPr>
          <w:rFonts w:ascii="Muli" w:eastAsia="Muli" w:hAnsi="Muli" w:cs="Muli"/>
          <w:color w:val="1C4587"/>
          <w:sz w:val="42"/>
          <w:szCs w:val="42"/>
          <w:highlight w:val="yellow"/>
          <w:lang w:bidi="pt-PT"/>
        </w:rPr>
        <w:t>[CONTEXTO]</w:t>
      </w:r>
      <w:r>
        <w:rPr>
          <w:rFonts w:ascii="Muli" w:eastAsia="Muli" w:hAnsi="Muli" w:cs="Muli"/>
          <w:color w:val="1C4587"/>
          <w:sz w:val="34"/>
          <w:szCs w:val="34"/>
          <w:lang w:bidi="pt-PT"/>
        </w:rPr>
        <w:t xml:space="preserve"> </w:t>
      </w:r>
    </w:p>
    <w:p w14:paraId="6B585C60" w14:textId="77777777" w:rsidR="006C00CE" w:rsidRDefault="006C00CE">
      <w:pPr>
        <w:ind w:left="-900" w:right="-855"/>
        <w:rPr>
          <w:rFonts w:ascii="Muli" w:eastAsia="Muli" w:hAnsi="Muli" w:cs="Muli"/>
          <w:color w:val="1C4587"/>
          <w:sz w:val="16"/>
          <w:szCs w:val="16"/>
        </w:rPr>
      </w:pPr>
    </w:p>
    <w:tbl>
      <w:tblPr>
        <w:tblStyle w:val="a"/>
        <w:tblW w:w="22740" w:type="dxa"/>
        <w:tblInd w:w="-9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410"/>
        <w:gridCol w:w="7830"/>
        <w:gridCol w:w="7500"/>
      </w:tblGrid>
      <w:tr w:rsidR="006C00CE" w14:paraId="2A496350" w14:textId="77777777">
        <w:trPr>
          <w:trHeight w:val="540"/>
        </w:trPr>
        <w:tc>
          <w:tcPr>
            <w:tcW w:w="22740" w:type="dxa"/>
            <w:gridSpan w:val="3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CBCF2" w14:textId="67C23B16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uli" w:eastAsia="Muli" w:hAnsi="Muli" w:cs="Muli"/>
                <w:color w:val="1C4587"/>
                <w:sz w:val="34"/>
                <w:szCs w:val="34"/>
              </w:rPr>
            </w:pPr>
            <w:r>
              <w:rPr>
                <w:rFonts w:ascii="Muli" w:eastAsia="Muli" w:hAnsi="Muli" w:cs="Muli"/>
                <w:color w:val="1C4587"/>
                <w:sz w:val="34"/>
                <w:szCs w:val="34"/>
                <w:lang w:bidi="pt-PT"/>
              </w:rPr>
              <w:t>Domínio 2 –</w:t>
            </w:r>
            <w:r>
              <w:rPr>
                <w:rFonts w:ascii="Muli" w:eastAsia="Muli" w:hAnsi="Muli" w:cs="Muli"/>
                <w:color w:val="1C4587"/>
                <w:sz w:val="34"/>
                <w:szCs w:val="34"/>
                <w:lang w:bidi="pt-PT"/>
              </w:rPr>
              <w:t xml:space="preserve"> </w:t>
            </w:r>
            <w:r>
              <w:rPr>
                <w:rFonts w:ascii="Muli" w:eastAsia="Muli" w:hAnsi="Muli" w:cs="Muli"/>
                <w:color w:val="1C4587"/>
                <w:sz w:val="34"/>
                <w:szCs w:val="34"/>
                <w:lang w:bidi="pt-PT"/>
              </w:rPr>
              <w:t>Acesso e Ambiente de aprendizagem</w:t>
            </w:r>
          </w:p>
        </w:tc>
      </w:tr>
      <w:tr w:rsidR="006C00CE" w14:paraId="5CE37FCF" w14:textId="77777777">
        <w:trPr>
          <w:trHeight w:val="540"/>
        </w:trPr>
        <w:tc>
          <w:tcPr>
            <w:tcW w:w="2274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3ADE8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>Requisito(s):</w:t>
            </w:r>
          </w:p>
        </w:tc>
      </w:tr>
      <w:tr w:rsidR="006C00CE" w14:paraId="7CD01EB9" w14:textId="77777777">
        <w:trPr>
          <w:trHeight w:val="540"/>
        </w:trPr>
        <w:tc>
          <w:tcPr>
            <w:tcW w:w="2274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B22EF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>Estratégias:</w:t>
            </w:r>
          </w:p>
          <w:p w14:paraId="2667F288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</w:tc>
      </w:tr>
      <w:tr w:rsidR="006C00CE" w14:paraId="0BD451EE" w14:textId="77777777">
        <w:trPr>
          <w:trHeight w:val="540"/>
        </w:trPr>
        <w:tc>
          <w:tcPr>
            <w:tcW w:w="22740" w:type="dxa"/>
            <w:gridSpan w:val="3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79ECF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uli" w:eastAsia="Muli" w:hAnsi="Muli" w:cs="Muli"/>
                <w:color w:val="1C4587"/>
                <w:sz w:val="34"/>
                <w:szCs w:val="34"/>
              </w:rPr>
            </w:pPr>
            <w:r>
              <w:rPr>
                <w:rFonts w:ascii="Muli" w:eastAsia="Muli" w:hAnsi="Muli" w:cs="Muli"/>
                <w:color w:val="1C4587"/>
                <w:sz w:val="34"/>
                <w:szCs w:val="34"/>
                <w:lang w:bidi="pt-PT"/>
              </w:rPr>
              <w:t>Teoria da mudança</w:t>
            </w:r>
          </w:p>
        </w:tc>
      </w:tr>
      <w:tr w:rsidR="006C00CE" w14:paraId="3D5A9510" w14:textId="77777777">
        <w:trPr>
          <w:trHeight w:val="972"/>
        </w:trPr>
        <w:tc>
          <w:tcPr>
            <w:tcW w:w="7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7CC0F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>Se ...</w:t>
            </w:r>
          </w:p>
          <w:p w14:paraId="223C48EC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</w:tc>
        <w:tc>
          <w:tcPr>
            <w:tcW w:w="7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647BE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 xml:space="preserve">Por conseguinte ... </w:t>
            </w:r>
          </w:p>
        </w:tc>
        <w:tc>
          <w:tcPr>
            <w:tcW w:w="7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B4533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 xml:space="preserve">O que levará a ... </w:t>
            </w:r>
          </w:p>
        </w:tc>
      </w:tr>
      <w:tr w:rsidR="006C00CE" w14:paraId="09721C7D" w14:textId="77777777">
        <w:tc>
          <w:tcPr>
            <w:tcW w:w="741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550FE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  <w:sz w:val="34"/>
                <w:szCs w:val="34"/>
              </w:rPr>
            </w:pPr>
            <w:r>
              <w:rPr>
                <w:rFonts w:ascii="Muli" w:eastAsia="Muli" w:hAnsi="Muli" w:cs="Muli"/>
                <w:color w:val="1C4587"/>
                <w:sz w:val="34"/>
                <w:szCs w:val="34"/>
                <w:lang w:bidi="pt-PT"/>
              </w:rPr>
              <w:t xml:space="preserve">Ano um &gt;   </w:t>
            </w:r>
          </w:p>
        </w:tc>
        <w:tc>
          <w:tcPr>
            <w:tcW w:w="783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0F35E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  <w:sz w:val="34"/>
                <w:szCs w:val="34"/>
              </w:rPr>
            </w:pPr>
            <w:r>
              <w:rPr>
                <w:rFonts w:ascii="Muli" w:eastAsia="Muli" w:hAnsi="Muli" w:cs="Muli"/>
                <w:color w:val="1C4587"/>
                <w:sz w:val="34"/>
                <w:szCs w:val="34"/>
                <w:lang w:bidi="pt-PT"/>
              </w:rPr>
              <w:t>Ano dois &gt;</w:t>
            </w:r>
          </w:p>
        </w:tc>
        <w:tc>
          <w:tcPr>
            <w:tcW w:w="750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547D8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  <w:sz w:val="34"/>
                <w:szCs w:val="34"/>
              </w:rPr>
            </w:pPr>
            <w:r>
              <w:rPr>
                <w:rFonts w:ascii="Muli" w:eastAsia="Muli" w:hAnsi="Muli" w:cs="Muli"/>
                <w:color w:val="1C4587"/>
                <w:sz w:val="34"/>
                <w:szCs w:val="34"/>
                <w:lang w:bidi="pt-PT"/>
              </w:rPr>
              <w:t>Ano três &gt;</w:t>
            </w:r>
          </w:p>
        </w:tc>
      </w:tr>
      <w:tr w:rsidR="006C00CE" w14:paraId="0B54602A" w14:textId="77777777">
        <w:trPr>
          <w:trHeight w:val="456"/>
        </w:trPr>
        <w:tc>
          <w:tcPr>
            <w:tcW w:w="7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B93EA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>Resultados (curto prazo)</w:t>
            </w:r>
          </w:p>
          <w:p w14:paraId="2C26742A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5A434859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623B570C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19874399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</w:tc>
        <w:tc>
          <w:tcPr>
            <w:tcW w:w="7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90F0F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>Resultados (médio prazo)</w:t>
            </w:r>
          </w:p>
        </w:tc>
        <w:tc>
          <w:tcPr>
            <w:tcW w:w="7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3A16B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>Impacto (longo prazo)</w:t>
            </w:r>
          </w:p>
        </w:tc>
      </w:tr>
      <w:tr w:rsidR="006C00CE" w14:paraId="29092853" w14:textId="77777777">
        <w:tc>
          <w:tcPr>
            <w:tcW w:w="7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9DA03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>Processos (iniciação e implementação)</w:t>
            </w:r>
          </w:p>
          <w:p w14:paraId="122D8C1F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78652B5E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5C3DB87F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46DBCA03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78E1A1D0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0309A8C5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</w:tc>
        <w:tc>
          <w:tcPr>
            <w:tcW w:w="7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C38F4" w14:textId="77777777" w:rsidR="006C00CE" w:rsidRDefault="00337815">
            <w:pPr>
              <w:widowControl w:val="0"/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>Processos (escala)</w:t>
            </w:r>
          </w:p>
        </w:tc>
        <w:tc>
          <w:tcPr>
            <w:tcW w:w="7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1A2A4" w14:textId="77777777" w:rsidR="006C00CE" w:rsidRDefault="00337815">
            <w:pPr>
              <w:widowControl w:val="0"/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>Processos (sustentabilidade)</w:t>
            </w:r>
          </w:p>
        </w:tc>
      </w:tr>
      <w:tr w:rsidR="006C00CE" w14:paraId="5886DD2C" w14:textId="77777777">
        <w:tc>
          <w:tcPr>
            <w:tcW w:w="7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CBB36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>Pessoas e parcerias (conexão e colaboração)</w:t>
            </w:r>
          </w:p>
          <w:p w14:paraId="0386F644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6BA2348A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48C687EB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035930E5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0FB57199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3ED3BB18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</w:tc>
        <w:tc>
          <w:tcPr>
            <w:tcW w:w="7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D709E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>Pessoas e parcerias (coligação e compromisso)</w:t>
            </w:r>
          </w:p>
        </w:tc>
        <w:tc>
          <w:tcPr>
            <w:tcW w:w="7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642A1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>Pessoas e parcerias (coesão e coerência)</w:t>
            </w:r>
          </w:p>
        </w:tc>
      </w:tr>
      <w:tr w:rsidR="006C00CE" w14:paraId="2E23EDBA" w14:textId="77777777">
        <w:tc>
          <w:tcPr>
            <w:tcW w:w="7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FD426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>Contributos (recursos)</w:t>
            </w:r>
          </w:p>
        </w:tc>
        <w:tc>
          <w:tcPr>
            <w:tcW w:w="7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A969D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>Contributos (recursos)</w:t>
            </w:r>
          </w:p>
        </w:tc>
        <w:tc>
          <w:tcPr>
            <w:tcW w:w="7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296" w14:textId="77777777" w:rsidR="006C00CE" w:rsidRDefault="00337815">
            <w:pPr>
              <w:widowControl w:val="0"/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>Contributos (recursos)</w:t>
            </w:r>
          </w:p>
          <w:p w14:paraId="472B9E42" w14:textId="77777777" w:rsidR="006C00CE" w:rsidRDefault="006C00CE">
            <w:pPr>
              <w:widowControl w:val="0"/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6F6314AD" w14:textId="77777777" w:rsidR="006C00CE" w:rsidRDefault="006C00CE">
            <w:pPr>
              <w:widowControl w:val="0"/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471D34B9" w14:textId="77777777" w:rsidR="006C00CE" w:rsidRDefault="006C00CE">
            <w:pPr>
              <w:widowControl w:val="0"/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467C6B0F" w14:textId="77777777" w:rsidR="006C00CE" w:rsidRDefault="006C00CE">
            <w:pPr>
              <w:widowControl w:val="0"/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</w:tc>
      </w:tr>
      <w:tr w:rsidR="006C00CE" w14:paraId="63E02351" w14:textId="77777777">
        <w:trPr>
          <w:trHeight w:val="1695"/>
        </w:trPr>
        <w:tc>
          <w:tcPr>
            <w:tcW w:w="7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3B2CA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lastRenderedPageBreak/>
              <w:t>Medição (o sucesso parece-se com ... )</w:t>
            </w:r>
          </w:p>
        </w:tc>
        <w:tc>
          <w:tcPr>
            <w:tcW w:w="7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ECE65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>Medição (o sucesso parece-se com ... )</w:t>
            </w:r>
          </w:p>
        </w:tc>
        <w:tc>
          <w:tcPr>
            <w:tcW w:w="7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0B875" w14:textId="77777777" w:rsidR="006C00CE" w:rsidRDefault="00337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  <w:r>
              <w:rPr>
                <w:rFonts w:ascii="Muli" w:eastAsia="Muli" w:hAnsi="Muli" w:cs="Muli"/>
                <w:color w:val="1C4587"/>
                <w:lang w:bidi="pt-PT"/>
              </w:rPr>
              <w:t>Medição (o sucesso parece-se com ... )</w:t>
            </w:r>
          </w:p>
          <w:p w14:paraId="3C412A16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2AF84FB5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  <w:p w14:paraId="131691B2" w14:textId="77777777" w:rsidR="006C00CE" w:rsidRDefault="006C0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uli" w:eastAsia="Muli" w:hAnsi="Muli" w:cs="Muli"/>
                <w:color w:val="1C4587"/>
              </w:rPr>
            </w:pPr>
          </w:p>
        </w:tc>
      </w:tr>
    </w:tbl>
    <w:p w14:paraId="28B7C979" w14:textId="77777777" w:rsidR="006C00CE" w:rsidRDefault="00337815">
      <w:pPr>
        <w:ind w:left="-900" w:right="-855"/>
        <w:rPr>
          <w:rFonts w:ascii="Muli" w:eastAsia="Muli" w:hAnsi="Muli" w:cs="Muli"/>
          <w:color w:val="1C4587"/>
          <w:sz w:val="34"/>
          <w:szCs w:val="34"/>
        </w:rPr>
      </w:pPr>
      <w:r>
        <w:rPr>
          <w:rFonts w:ascii="Muli" w:eastAsia="Muli" w:hAnsi="Muli" w:cs="Muli"/>
          <w:color w:val="1C4587"/>
          <w:sz w:val="34"/>
          <w:szCs w:val="34"/>
          <w:lang w:bidi="pt-PT"/>
        </w:rPr>
        <w:t xml:space="preserve"> </w:t>
      </w:r>
    </w:p>
    <w:sectPr w:rsidR="006C00CE">
      <w:headerReference w:type="default" r:id="rId6"/>
      <w:pgSz w:w="23811" w:h="16838" w:orient="landscape"/>
      <w:pgMar w:top="1440" w:right="1440" w:bottom="195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3BE7B" w14:textId="77777777" w:rsidR="00000000" w:rsidRDefault="00337815">
      <w:pPr>
        <w:spacing w:line="240" w:lineRule="auto"/>
      </w:pPr>
      <w:r>
        <w:separator/>
      </w:r>
    </w:p>
  </w:endnote>
  <w:endnote w:type="continuationSeparator" w:id="0">
    <w:p w14:paraId="61F71C38" w14:textId="77777777" w:rsidR="00000000" w:rsidRDefault="00337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li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8E1C7" w14:textId="77777777" w:rsidR="00000000" w:rsidRDefault="00337815">
      <w:pPr>
        <w:spacing w:line="240" w:lineRule="auto"/>
      </w:pPr>
      <w:r>
        <w:separator/>
      </w:r>
    </w:p>
  </w:footnote>
  <w:footnote w:type="continuationSeparator" w:id="0">
    <w:p w14:paraId="10018A50" w14:textId="77777777" w:rsidR="00000000" w:rsidRDefault="003378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0C46B" w14:textId="69E4E5C3" w:rsidR="006C00CE" w:rsidRDefault="008A23C7" w:rsidP="008A23C7">
    <w:pPr>
      <w:jc w:val="right"/>
    </w:pPr>
    <w:r>
      <w:rPr>
        <w:noProof/>
      </w:rPr>
      <w:drawing>
        <wp:inline distT="0" distB="0" distL="0" distR="0" wp14:anchorId="0D4F51C5" wp14:editId="34F778D0">
          <wp:extent cx="4056372" cy="563526"/>
          <wp:effectExtent l="0" t="0" r="1905" b="8255"/>
          <wp:docPr id="573143903" name="Imagem 1" descr="Ícon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3143903" name="Imagem 1" descr="Ícone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5920" cy="5704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9AD2B0" w14:textId="77777777" w:rsidR="008A23C7" w:rsidRDefault="008A23C7" w:rsidP="008A23C7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0CE"/>
    <w:rsid w:val="00337815"/>
    <w:rsid w:val="006C00CE"/>
    <w:rsid w:val="00872474"/>
    <w:rsid w:val="008A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7E873"/>
  <w15:docId w15:val="{2FA71431-A90C-4185-B6DF-D8B2C75C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PT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A23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A23C7"/>
  </w:style>
  <w:style w:type="paragraph" w:styleId="Rodap">
    <w:name w:val="footer"/>
    <w:basedOn w:val="Normal"/>
    <w:link w:val="RodapChar"/>
    <w:uiPriority w:val="99"/>
    <w:unhideWhenUsed/>
    <w:rsid w:val="008A23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A2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641</Characters>
  <Application>Microsoft Office Word</Application>
  <DocSecurity>0</DocSecurity>
  <Lines>58</Lines>
  <Paragraphs>31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Regis</dc:creator>
  <cp:lastModifiedBy>Maria Fernanda Regis</cp:lastModifiedBy>
  <cp:revision>5</cp:revision>
  <dcterms:created xsi:type="dcterms:W3CDTF">2023-07-25T16:42:00Z</dcterms:created>
  <dcterms:modified xsi:type="dcterms:W3CDTF">2023-07-25T16:43:00Z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f86658954fcf42430e6b8384416456945784fd717154c89d7cd82b753b64d3b8</vt:lpwstr>
  </property>
</Properties>
</file>