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Muli" w:cs="Muli" w:eastAsia="Muli" w:hAnsi="Mul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5175"/>
        <w:gridCol w:w="8550"/>
        <w:tblGridChange w:id="0">
          <w:tblGrid>
            <w:gridCol w:w="1965"/>
            <w:gridCol w:w="5175"/>
            <w:gridCol w:w="8550"/>
          </w:tblGrid>
        </w:tblGridChange>
      </w:tblGrid>
      <w:tr>
        <w:trPr>
          <w:cantSplit w:val="0"/>
          <w:tblHeader w:val="1"/>
        </w:trPr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Section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Questions à clarifier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Apprentissages principaux</w:t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Définition DPESU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0.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Impact des situations d’urgences sur les jeunes enfants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Cadre pertinents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Considérations principales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Évaluation de la situation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Contextualization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Coordination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Importance du jeu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Rôle et implication de l’aidant (personne qui s’occupe de l’enfant)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7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Transition vers le relèvement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widowControl w:val="0"/>
        <w:rPr/>
      </w:pPr>
      <w:r w:rsidDel="00000000" w:rsidR="00000000" w:rsidRPr="00000000">
        <w:rPr>
          <w:rtl w:val="0"/>
        </w:rPr>
      </w:r>
    </w:p>
    <w:sectPr>
      <w:pgSz w:h="11901" w:w="16817" w:orient="landscape"/>
      <w:pgMar w:bottom="576" w:top="576" w:left="576" w:right="5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Mul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C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F51F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c0c0c0" w:val="clear"/>
    </w:tc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0c0c0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ph6trJU8Ddd1FOim50YISxZdkw==">CgMxLjA4AHIhMXRZRjhCcEs4ZVozd21YVklyZzFrR19QMFBqMXZmelNG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2022-11-21T14:34:00Z</dcterms:created>
  <dc:creator>M.R. Claxton</dc:creator>
</cp:coreProperties>
</file>