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673" w:rsidRPr="006D5673" w:rsidRDefault="006D5673" w:rsidP="006D5673">
      <w:pPr>
        <w:bidi/>
        <w:spacing w:after="0"/>
        <w:jc w:val="both"/>
        <w:rPr>
          <w:rFonts w:ascii="Arial" w:hAnsi="Arial" w:cs="Arial"/>
          <w:bCs/>
          <w:sz w:val="20"/>
          <w:szCs w:val="20"/>
          <w:rtl/>
          <w:lang w:bidi="ar-EG"/>
        </w:rPr>
      </w:pPr>
      <w:r w:rsidRPr="006D5673">
        <w:rPr>
          <w:rFonts w:ascii="Arial" w:hAnsi="Arial" w:cs="Arial" w:hint="cs"/>
          <w:bCs/>
          <w:sz w:val="20"/>
          <w:szCs w:val="20"/>
          <w:rtl/>
          <w:lang w:bidi="ar-EG"/>
        </w:rPr>
        <w:t>تدريب الآيني حول التعليم المراعي لظروف النزاع</w:t>
      </w:r>
    </w:p>
    <w:p w:rsidR="006D5673" w:rsidRDefault="006D5673" w:rsidP="006D5673">
      <w:pPr>
        <w:bidi/>
        <w:spacing w:after="0"/>
        <w:jc w:val="both"/>
        <w:rPr>
          <w:rFonts w:ascii="Arial" w:hAnsi="Arial" w:cs="Arial"/>
          <w:b/>
          <w:sz w:val="20"/>
          <w:szCs w:val="20"/>
          <w:rtl/>
          <w:lang w:bidi="ar-EG"/>
        </w:rPr>
      </w:pPr>
      <w:r w:rsidRPr="006D5673">
        <w:rPr>
          <w:rFonts w:ascii="Arial" w:hAnsi="Arial" w:cs="Arial" w:hint="cs"/>
          <w:bCs/>
          <w:sz w:val="20"/>
          <w:szCs w:val="20"/>
          <w:rtl/>
          <w:lang w:bidi="ar-EG"/>
        </w:rPr>
        <w:t>رسالة المشارك بعد التدريب</w:t>
      </w:r>
    </w:p>
    <w:p w:rsidR="000C6635" w:rsidRDefault="000C6635" w:rsidP="006D5673">
      <w:pPr>
        <w:bidi/>
        <w:spacing w:after="0"/>
        <w:jc w:val="both"/>
        <w:rPr>
          <w:rFonts w:ascii="Arial" w:hAnsi="Arial" w:cs="Arial"/>
          <w:sz w:val="20"/>
          <w:szCs w:val="20"/>
          <w:rtl/>
        </w:rPr>
      </w:pPr>
    </w:p>
    <w:p w:rsidR="006D5673" w:rsidRDefault="006D5673" w:rsidP="006D5673">
      <w:pPr>
        <w:bidi/>
        <w:spacing w:after="0"/>
        <w:jc w:val="both"/>
        <w:rPr>
          <w:rFonts w:ascii="Arial" w:hAnsi="Arial" w:cs="Arial"/>
          <w:sz w:val="20"/>
          <w:szCs w:val="20"/>
          <w:rtl/>
        </w:rPr>
      </w:pPr>
      <w:r>
        <w:rPr>
          <w:rFonts w:ascii="Arial" w:hAnsi="Arial" w:cs="Arial" w:hint="cs"/>
          <w:sz w:val="20"/>
          <w:szCs w:val="20"/>
          <w:rtl/>
        </w:rPr>
        <w:t>زملائي الأعزاء</w:t>
      </w:r>
    </w:p>
    <w:p w:rsidR="006D5673" w:rsidRDefault="006D5673" w:rsidP="006D5673">
      <w:pPr>
        <w:bidi/>
        <w:spacing w:after="0"/>
        <w:jc w:val="both"/>
        <w:rPr>
          <w:rFonts w:ascii="Arial" w:hAnsi="Arial" w:cs="Arial"/>
          <w:sz w:val="20"/>
          <w:szCs w:val="20"/>
          <w:rtl/>
        </w:rPr>
      </w:pPr>
    </w:p>
    <w:p w:rsidR="006D5673" w:rsidRDefault="006D5673" w:rsidP="003F3D38">
      <w:pPr>
        <w:bidi/>
        <w:spacing w:after="240"/>
        <w:jc w:val="both"/>
        <w:rPr>
          <w:rFonts w:ascii="Arial" w:hAnsi="Arial" w:cs="Arial"/>
          <w:sz w:val="20"/>
          <w:szCs w:val="20"/>
          <w:rtl/>
        </w:rPr>
      </w:pPr>
      <w:r>
        <w:rPr>
          <w:rFonts w:ascii="Arial" w:hAnsi="Arial" w:cs="Arial" w:hint="cs"/>
          <w:sz w:val="20"/>
          <w:szCs w:val="20"/>
          <w:rtl/>
        </w:rPr>
        <w:t xml:space="preserve">شكرا على مشاركتكم في الاختبار الأخير لتدريب الآيني حول التعليم المراعي لظروف النزاع في شهر </w:t>
      </w:r>
      <w:r w:rsidRPr="006D5673">
        <w:rPr>
          <w:rFonts w:ascii="Arial" w:hAnsi="Arial" w:cs="Arial" w:hint="cs"/>
          <w:sz w:val="20"/>
          <w:szCs w:val="20"/>
          <w:highlight w:val="yellow"/>
          <w:rtl/>
        </w:rPr>
        <w:t>أبريل\نيسان 2</w:t>
      </w:r>
      <w:r>
        <w:rPr>
          <w:rFonts w:ascii="Arial" w:hAnsi="Arial" w:cs="Arial" w:hint="cs"/>
          <w:sz w:val="20"/>
          <w:szCs w:val="20"/>
          <w:rtl/>
        </w:rPr>
        <w:t xml:space="preserve"> في </w:t>
      </w:r>
      <w:r w:rsidRPr="006D5673">
        <w:rPr>
          <w:rFonts w:ascii="Arial" w:hAnsi="Arial" w:cs="Arial" w:hint="cs"/>
          <w:sz w:val="20"/>
          <w:szCs w:val="20"/>
          <w:highlight w:val="yellow"/>
          <w:rtl/>
        </w:rPr>
        <w:t>مدينة نيويورك</w:t>
      </w:r>
      <w:r>
        <w:rPr>
          <w:rFonts w:ascii="Arial" w:hAnsi="Arial" w:cs="Arial" w:hint="cs"/>
          <w:sz w:val="20"/>
          <w:szCs w:val="20"/>
          <w:rtl/>
        </w:rPr>
        <w:t xml:space="preserve">. أتمنى أن تكون الأدوات والأنشطة قد أفادتكم وأعطتكم أفكارا جديدة حول طرق إدماج التعليم المراعي لظروف النزاع بشكل أكبر في عمل منظماتكم. </w:t>
      </w:r>
    </w:p>
    <w:p w:rsidR="000C6635" w:rsidRDefault="006D5673" w:rsidP="006D5673">
      <w:pPr>
        <w:bidi/>
        <w:spacing w:after="240"/>
        <w:jc w:val="both"/>
        <w:rPr>
          <w:rFonts w:ascii="Arial" w:hAnsi="Arial" w:cs="Arial"/>
          <w:sz w:val="20"/>
          <w:szCs w:val="20"/>
          <w:rtl/>
        </w:rPr>
      </w:pPr>
      <w:r>
        <w:rPr>
          <w:rFonts w:ascii="Arial" w:hAnsi="Arial" w:cs="Arial" w:hint="cs"/>
          <w:sz w:val="20"/>
          <w:szCs w:val="20"/>
          <w:rtl/>
        </w:rPr>
        <w:t xml:space="preserve">أريد أن أستغل هذه الفرصة لأذكركم ببعض الأمور: </w:t>
      </w:r>
    </w:p>
    <w:p w:rsidR="006D5673" w:rsidRPr="0008543F" w:rsidRDefault="0008543F" w:rsidP="001C7E71">
      <w:pPr>
        <w:pStyle w:val="ListParagraph"/>
        <w:numPr>
          <w:ilvl w:val="0"/>
          <w:numId w:val="4"/>
        </w:numPr>
        <w:bidi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 w:hint="cs"/>
          <w:b/>
          <w:bCs/>
          <w:sz w:val="20"/>
          <w:szCs w:val="20"/>
          <w:rtl/>
        </w:rPr>
        <w:t>أدوات التعليم المراعي لظروف النزاع</w:t>
      </w:r>
    </w:p>
    <w:p w:rsidR="0008543F" w:rsidRPr="0008543F" w:rsidRDefault="0008543F" w:rsidP="0008543F">
      <w:pPr>
        <w:pStyle w:val="ListParagraph"/>
        <w:numPr>
          <w:ilvl w:val="1"/>
          <w:numId w:val="4"/>
        </w:numPr>
        <w:bidi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 w:hint="cs"/>
          <w:sz w:val="20"/>
          <w:szCs w:val="20"/>
          <w:rtl/>
        </w:rPr>
        <w:t xml:space="preserve">يمكن تنزيل حزمة آيني للتعليم المراعي لظروف النزاع (المبادئ الإرشادية، أداة التأمل والأداة الإرشادية) بالضغط على الرابط التالي </w:t>
      </w:r>
      <w:hyperlink r:id="rId5" w:history="1">
        <w:r w:rsidRPr="0024743A">
          <w:rPr>
            <w:rStyle w:val="Hyperlink"/>
            <w:rFonts w:ascii="Arial" w:hAnsi="Arial" w:cs="Arial"/>
            <w:sz w:val="20"/>
            <w:szCs w:val="20"/>
          </w:rPr>
          <w:t>here</w:t>
        </w:r>
      </w:hyperlink>
    </w:p>
    <w:p w:rsidR="000C6635" w:rsidRPr="0008543F" w:rsidRDefault="0008543F" w:rsidP="0008543F">
      <w:pPr>
        <w:pStyle w:val="ListParagraph"/>
        <w:numPr>
          <w:ilvl w:val="1"/>
          <w:numId w:val="4"/>
        </w:numPr>
        <w:bidi/>
        <w:spacing w:after="0"/>
        <w:jc w:val="both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r>
        <w:rPr>
          <w:rFonts w:hint="cs"/>
          <w:rtl/>
        </w:rPr>
        <w:t xml:space="preserve">يمكنكم مشاهدة تسجيل الفيديو وعرض البريزي هنا </w:t>
      </w:r>
      <w:hyperlink r:id="rId6" w:history="1">
        <w:r w:rsidR="000C6635" w:rsidRPr="0008543F">
          <w:rPr>
            <w:rStyle w:val="Hyperlink"/>
            <w:rFonts w:ascii="Arial" w:hAnsi="Arial" w:cs="Arial"/>
            <w:sz w:val="20"/>
            <w:szCs w:val="20"/>
          </w:rPr>
          <w:t>here</w:t>
        </w:r>
      </w:hyperlink>
    </w:p>
    <w:p w:rsidR="0008543F" w:rsidRPr="0008543F" w:rsidRDefault="0008543F" w:rsidP="0008543F">
      <w:pPr>
        <w:pStyle w:val="ListParagraph"/>
        <w:numPr>
          <w:ilvl w:val="1"/>
          <w:numId w:val="4"/>
        </w:numPr>
        <w:bidi/>
        <w:spacing w:after="0"/>
        <w:jc w:val="both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r>
        <w:rPr>
          <w:rStyle w:val="Hyperlink"/>
          <w:rFonts w:ascii="Arial" w:hAnsi="Arial" w:cs="Arial" w:hint="cs"/>
          <w:color w:val="auto"/>
          <w:sz w:val="20"/>
          <w:szCs w:val="20"/>
          <w:u w:val="none"/>
          <w:rtl/>
        </w:rPr>
        <w:t xml:space="preserve">يمكن تنزيل عرض البوربونت حول تدريب التعليم المراعي لظروف االنزاع (اليومين أو 90 دقيقة) وكذلك دليل الميسر ومطبوعات الأنشطة هنا </w:t>
      </w:r>
      <w:hyperlink r:id="rId7" w:history="1">
        <w:r w:rsidRPr="0024743A">
          <w:rPr>
            <w:rStyle w:val="Hyperlink"/>
            <w:rFonts w:ascii="Arial" w:hAnsi="Arial" w:cs="Arial"/>
            <w:sz w:val="20"/>
            <w:szCs w:val="20"/>
          </w:rPr>
          <w:t>here</w:t>
        </w:r>
      </w:hyperlink>
    </w:p>
    <w:p w:rsidR="0008543F" w:rsidRPr="0008543F" w:rsidRDefault="0008543F" w:rsidP="003F3D38">
      <w:pPr>
        <w:pStyle w:val="ListParagraph"/>
        <w:numPr>
          <w:ilvl w:val="1"/>
          <w:numId w:val="4"/>
        </w:numPr>
        <w:bidi/>
        <w:spacing w:after="0" w:line="240" w:lineRule="auto"/>
        <w:jc w:val="both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r>
        <w:rPr>
          <w:rStyle w:val="Hyperlink"/>
          <w:rFonts w:ascii="Arial" w:hAnsi="Arial" w:cs="Arial" w:hint="cs"/>
          <w:color w:val="auto"/>
          <w:sz w:val="20"/>
          <w:szCs w:val="20"/>
          <w:u w:val="none"/>
          <w:rtl/>
        </w:rPr>
        <w:t xml:space="preserve">إذا أردتم إبداء ملاحظات حول الأدوات أو لطلب المساعدة الفنية، راسلونا على </w:t>
      </w:r>
      <w:hyperlink r:id="rId8" w:history="1">
        <w:r w:rsidRPr="0024743A">
          <w:rPr>
            <w:rStyle w:val="Hyperlink"/>
            <w:rFonts w:ascii="Arial" w:hAnsi="Arial" w:cs="Arial"/>
            <w:sz w:val="20"/>
            <w:szCs w:val="20"/>
          </w:rPr>
          <w:t>csetraining@ineesite.org</w:t>
        </w:r>
      </w:hyperlink>
    </w:p>
    <w:p w:rsidR="0008543F" w:rsidRPr="0008543F" w:rsidRDefault="0008543F" w:rsidP="0008543F">
      <w:pPr>
        <w:bidi/>
        <w:spacing w:after="0"/>
        <w:jc w:val="both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</w:p>
    <w:p w:rsidR="0008543F" w:rsidRPr="0008543F" w:rsidRDefault="0008543F" w:rsidP="0008543F">
      <w:pPr>
        <w:pStyle w:val="ListParagraph"/>
        <w:numPr>
          <w:ilvl w:val="0"/>
          <w:numId w:val="4"/>
        </w:numPr>
        <w:bidi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08543F">
        <w:rPr>
          <w:rStyle w:val="Hyperlink"/>
          <w:rFonts w:ascii="Arial" w:hAnsi="Arial" w:cs="Arial" w:hint="cs"/>
          <w:b/>
          <w:bCs/>
          <w:color w:val="auto"/>
          <w:sz w:val="20"/>
          <w:szCs w:val="20"/>
          <w:u w:val="none"/>
          <w:rtl/>
        </w:rPr>
        <w:t>الأدوات والموارد الإضافية الموجودة على موقع الآيني</w:t>
      </w:r>
    </w:p>
    <w:p w:rsidR="000C6635" w:rsidRDefault="001C7E71" w:rsidP="001C7E71">
      <w:pPr>
        <w:pStyle w:val="ListParagraph"/>
        <w:bidi/>
        <w:spacing w:before="240" w:after="0"/>
        <w:ind w:left="0"/>
        <w:jc w:val="both"/>
        <w:rPr>
          <w:rFonts w:ascii="Arial" w:hAnsi="Arial" w:cs="Arial"/>
          <w:sz w:val="20"/>
          <w:szCs w:val="20"/>
          <w:rtl/>
        </w:rPr>
      </w:pPr>
      <w:r>
        <w:rPr>
          <w:rFonts w:ascii="Arial" w:hAnsi="Arial" w:cs="Arial" w:hint="cs"/>
          <w:sz w:val="20"/>
          <w:szCs w:val="20"/>
          <w:rtl/>
        </w:rPr>
        <w:t>يمكن تنزيل أدوات وموارد إضافية عند زيارة موقع الآيني</w:t>
      </w:r>
      <w:hyperlink r:id="rId9" w:history="1">
        <w:r w:rsidRPr="0024743A">
          <w:rPr>
            <w:rStyle w:val="Hyperlink"/>
            <w:rFonts w:ascii="Arial" w:hAnsi="Arial" w:cs="Arial"/>
            <w:sz w:val="20"/>
            <w:szCs w:val="20"/>
          </w:rPr>
          <w:t>INEE website</w:t>
        </w:r>
      </w:hyperlink>
      <w:r>
        <w:rPr>
          <w:rFonts w:ascii="Arial" w:hAnsi="Arial" w:cs="Arial" w:hint="cs"/>
          <w:sz w:val="20"/>
          <w:szCs w:val="20"/>
          <w:rtl/>
        </w:rPr>
        <w:t xml:space="preserve">. هذه بعض الروابط لأدوات محددة بالإنجليزية. كثير من هذه الأدوات متوفر كذلك بلغات متعددة. </w:t>
      </w:r>
    </w:p>
    <w:p w:rsidR="001C7E71" w:rsidRPr="001C7E71" w:rsidRDefault="001C7E71" w:rsidP="00177338">
      <w:pPr>
        <w:pStyle w:val="ListParagraph"/>
        <w:numPr>
          <w:ilvl w:val="0"/>
          <w:numId w:val="7"/>
        </w:numPr>
        <w:bidi/>
        <w:spacing w:after="0"/>
        <w:jc w:val="both"/>
        <w:rPr>
          <w:rFonts w:ascii="Arial" w:hAnsi="Arial" w:cs="Arial"/>
          <w:sz w:val="20"/>
          <w:szCs w:val="20"/>
        </w:rPr>
      </w:pPr>
      <w:r w:rsidRPr="001C7E71">
        <w:rPr>
          <w:rFonts w:ascii="Arial" w:hAnsi="Arial" w:cs="Arial" w:hint="cs"/>
          <w:sz w:val="20"/>
          <w:szCs w:val="20"/>
          <w:rtl/>
        </w:rPr>
        <w:t xml:space="preserve">كتيب الآيني للمعايير الدنيا </w:t>
      </w:r>
      <w:hyperlink r:id="rId10" w:history="1">
        <w:r w:rsidRPr="001C7E71">
          <w:rPr>
            <w:rStyle w:val="Hyperlink"/>
            <w:rFonts w:ascii="Arial" w:hAnsi="Arial" w:cs="Arial"/>
            <w:sz w:val="20"/>
            <w:szCs w:val="20"/>
          </w:rPr>
          <w:t>The INEE Minimum Standards handbook</w:t>
        </w:r>
      </w:hyperlink>
    </w:p>
    <w:p w:rsidR="001C7E71" w:rsidRPr="00177338" w:rsidRDefault="001C7E71" w:rsidP="00177338">
      <w:pPr>
        <w:pStyle w:val="ListParagraph"/>
        <w:numPr>
          <w:ilvl w:val="0"/>
          <w:numId w:val="7"/>
        </w:numPr>
        <w:bidi/>
        <w:spacing w:after="0"/>
        <w:jc w:val="both"/>
        <w:rPr>
          <w:rFonts w:ascii="Arial" w:hAnsi="Arial" w:cs="Arial"/>
          <w:sz w:val="20"/>
          <w:szCs w:val="20"/>
        </w:rPr>
      </w:pPr>
      <w:r w:rsidRPr="00177338">
        <w:rPr>
          <w:rFonts w:ascii="Arial" w:hAnsi="Arial" w:cs="Arial" w:hint="cs"/>
          <w:sz w:val="20"/>
          <w:szCs w:val="20"/>
          <w:rtl/>
        </w:rPr>
        <w:t xml:space="preserve">ملاحظات إرشادية حول التعليم والتعلم </w:t>
      </w:r>
      <w:hyperlink r:id="rId11" w:history="1">
        <w:r w:rsidRPr="00177338">
          <w:rPr>
            <w:rStyle w:val="Hyperlink"/>
            <w:rFonts w:ascii="Arial" w:hAnsi="Arial" w:cs="Arial"/>
            <w:sz w:val="20"/>
            <w:szCs w:val="20"/>
          </w:rPr>
          <w:t>Guidance Notes on Teaching and Learning</w:t>
        </w:r>
      </w:hyperlink>
    </w:p>
    <w:p w:rsidR="001C7E71" w:rsidRPr="00177338" w:rsidRDefault="001C7E71" w:rsidP="00177338">
      <w:pPr>
        <w:pStyle w:val="ListParagraph"/>
        <w:numPr>
          <w:ilvl w:val="0"/>
          <w:numId w:val="7"/>
        </w:numPr>
        <w:bidi/>
        <w:spacing w:after="0"/>
        <w:jc w:val="both"/>
        <w:rPr>
          <w:rFonts w:ascii="Arial" w:hAnsi="Arial" w:cs="Arial"/>
          <w:sz w:val="20"/>
          <w:szCs w:val="20"/>
        </w:rPr>
      </w:pPr>
      <w:r w:rsidRPr="00177338">
        <w:rPr>
          <w:rFonts w:ascii="Arial" w:hAnsi="Arial" w:cs="Arial" w:hint="cs"/>
          <w:sz w:val="20"/>
          <w:szCs w:val="20"/>
          <w:rtl/>
        </w:rPr>
        <w:t xml:space="preserve">ملاحظات إرشادية حول تعويضات المدرسين </w:t>
      </w:r>
      <w:hyperlink r:id="rId12" w:history="1">
        <w:r w:rsidRPr="00177338">
          <w:rPr>
            <w:rStyle w:val="Hyperlink"/>
            <w:rFonts w:ascii="Arial" w:hAnsi="Arial" w:cs="Arial"/>
            <w:sz w:val="20"/>
            <w:szCs w:val="20"/>
          </w:rPr>
          <w:t>Guidance Notes on Teacher Compensation</w:t>
        </w:r>
      </w:hyperlink>
    </w:p>
    <w:p w:rsidR="001C7E71" w:rsidRPr="00177338" w:rsidRDefault="001C7E71" w:rsidP="00177338">
      <w:pPr>
        <w:pStyle w:val="ListParagraph"/>
        <w:numPr>
          <w:ilvl w:val="0"/>
          <w:numId w:val="7"/>
        </w:numPr>
        <w:bidi/>
        <w:spacing w:after="0"/>
        <w:jc w:val="both"/>
        <w:rPr>
          <w:rFonts w:ascii="Arial" w:hAnsi="Arial" w:cs="Arial"/>
          <w:sz w:val="20"/>
          <w:szCs w:val="20"/>
        </w:rPr>
      </w:pPr>
      <w:r w:rsidRPr="00177338">
        <w:rPr>
          <w:rFonts w:ascii="Arial" w:hAnsi="Arial" w:cs="Arial" w:hint="cs"/>
          <w:sz w:val="20"/>
          <w:szCs w:val="20"/>
          <w:rtl/>
        </w:rPr>
        <w:t xml:space="preserve">ملاحظات إرشادية حول البناء الآمن للمدارس </w:t>
      </w:r>
      <w:hyperlink r:id="rId13" w:history="1">
        <w:r w:rsidRPr="00177338">
          <w:rPr>
            <w:rStyle w:val="Hyperlink"/>
            <w:rFonts w:ascii="Arial" w:hAnsi="Arial" w:cs="Arial"/>
            <w:sz w:val="20"/>
            <w:szCs w:val="20"/>
          </w:rPr>
          <w:t>Guidance Notes on Safer School Construction</w:t>
        </w:r>
      </w:hyperlink>
    </w:p>
    <w:p w:rsidR="001C7E71" w:rsidRPr="00177338" w:rsidRDefault="001C7E71" w:rsidP="00177338">
      <w:pPr>
        <w:pStyle w:val="ListParagraph"/>
        <w:numPr>
          <w:ilvl w:val="0"/>
          <w:numId w:val="7"/>
        </w:numPr>
        <w:bidi/>
        <w:spacing w:after="0"/>
        <w:jc w:val="both"/>
        <w:rPr>
          <w:rFonts w:ascii="Arial" w:hAnsi="Arial" w:cs="Arial"/>
          <w:sz w:val="20"/>
          <w:szCs w:val="20"/>
        </w:rPr>
      </w:pPr>
      <w:r w:rsidRPr="00177338">
        <w:rPr>
          <w:rFonts w:ascii="Arial" w:hAnsi="Arial" w:cs="Arial" w:hint="cs"/>
          <w:sz w:val="20"/>
          <w:szCs w:val="20"/>
          <w:rtl/>
        </w:rPr>
        <w:t xml:space="preserve">كتيب الجيب حول الجندر </w:t>
      </w:r>
      <w:hyperlink r:id="rId14" w:history="1">
        <w:r w:rsidRPr="00177338">
          <w:rPr>
            <w:rStyle w:val="Hyperlink"/>
            <w:rFonts w:ascii="Arial" w:hAnsi="Arial" w:cs="Arial"/>
            <w:sz w:val="20"/>
            <w:szCs w:val="20"/>
          </w:rPr>
          <w:t>The Pocket Guide to Gender</w:t>
        </w:r>
      </w:hyperlink>
    </w:p>
    <w:p w:rsidR="001C7E71" w:rsidRPr="00177338" w:rsidRDefault="001C7E71" w:rsidP="00177338">
      <w:pPr>
        <w:pStyle w:val="ListParagraph"/>
        <w:numPr>
          <w:ilvl w:val="0"/>
          <w:numId w:val="7"/>
        </w:numPr>
        <w:bidi/>
        <w:spacing w:after="0"/>
        <w:jc w:val="both"/>
        <w:rPr>
          <w:rFonts w:ascii="Arial" w:hAnsi="Arial" w:cs="Arial"/>
          <w:sz w:val="20"/>
          <w:szCs w:val="20"/>
        </w:rPr>
      </w:pPr>
      <w:r w:rsidRPr="00177338">
        <w:rPr>
          <w:rFonts w:ascii="Arial" w:hAnsi="Arial" w:cs="Arial" w:hint="cs"/>
          <w:sz w:val="20"/>
          <w:szCs w:val="20"/>
          <w:rtl/>
        </w:rPr>
        <w:t xml:space="preserve">كتيب الجيب حول التعليم الذي لا يقصي أحدا </w:t>
      </w:r>
      <w:hyperlink r:id="rId15" w:history="1">
        <w:r w:rsidRPr="00177338">
          <w:rPr>
            <w:rStyle w:val="Hyperlink"/>
            <w:rFonts w:ascii="Arial" w:hAnsi="Arial" w:cs="Arial"/>
            <w:sz w:val="20"/>
            <w:szCs w:val="20"/>
          </w:rPr>
          <w:t>The Pocket Guide to Inclusive Education</w:t>
        </w:r>
      </w:hyperlink>
    </w:p>
    <w:p w:rsidR="00177338" w:rsidRPr="00177338" w:rsidRDefault="001C7E71" w:rsidP="00177338">
      <w:pPr>
        <w:pStyle w:val="ListParagraph"/>
        <w:numPr>
          <w:ilvl w:val="0"/>
          <w:numId w:val="7"/>
        </w:numPr>
        <w:bidi/>
        <w:spacing w:after="0"/>
        <w:jc w:val="both"/>
        <w:rPr>
          <w:rFonts w:ascii="Arial" w:hAnsi="Arial" w:cs="Arial"/>
          <w:sz w:val="20"/>
          <w:szCs w:val="20"/>
        </w:rPr>
      </w:pPr>
      <w:r w:rsidRPr="00177338">
        <w:rPr>
          <w:rFonts w:ascii="Arial" w:hAnsi="Arial" w:cs="Arial" w:hint="cs"/>
          <w:sz w:val="20"/>
          <w:szCs w:val="20"/>
          <w:rtl/>
        </w:rPr>
        <w:t>كتيب الجيب حول دعم المتعلمين ذوي الإعاقات</w:t>
      </w:r>
      <w:r w:rsidR="00177338" w:rsidRPr="00177338">
        <w:rPr>
          <w:rFonts w:ascii="Arial" w:hAnsi="Arial" w:cs="Arial" w:hint="cs"/>
          <w:sz w:val="20"/>
          <w:szCs w:val="20"/>
          <w:rtl/>
        </w:rPr>
        <w:t xml:space="preserve"> </w:t>
      </w:r>
      <w:hyperlink r:id="rId16" w:history="1">
        <w:r w:rsidR="00177338" w:rsidRPr="00177338">
          <w:rPr>
            <w:rStyle w:val="Hyperlink"/>
            <w:rFonts w:ascii="Arial" w:hAnsi="Arial" w:cs="Arial"/>
            <w:sz w:val="20"/>
            <w:szCs w:val="20"/>
          </w:rPr>
          <w:t>The Pocket Guide to Supporting Learners with Disabilities</w:t>
        </w:r>
      </w:hyperlink>
    </w:p>
    <w:p w:rsidR="00177338" w:rsidRPr="00177338" w:rsidRDefault="001C7E71" w:rsidP="003F3D38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7338">
        <w:rPr>
          <w:rFonts w:ascii="Arial" w:hAnsi="Arial" w:cs="Arial" w:hint="cs"/>
          <w:sz w:val="20"/>
          <w:szCs w:val="20"/>
          <w:rtl/>
        </w:rPr>
        <w:t>دليل مرجعي حول التمويل الخارجي للتعليم</w:t>
      </w:r>
      <w:r w:rsidR="00177338" w:rsidRPr="00177338">
        <w:rPr>
          <w:rFonts w:ascii="Arial" w:hAnsi="Arial" w:cs="Arial" w:hint="cs"/>
          <w:sz w:val="20"/>
          <w:szCs w:val="20"/>
          <w:rtl/>
        </w:rPr>
        <w:t xml:space="preserve"> </w:t>
      </w:r>
      <w:hyperlink r:id="rId17" w:history="1">
        <w:r w:rsidR="00177338" w:rsidRPr="00177338">
          <w:rPr>
            <w:rStyle w:val="Hyperlink"/>
            <w:rFonts w:ascii="Arial" w:hAnsi="Arial" w:cs="Arial"/>
            <w:sz w:val="20"/>
            <w:szCs w:val="20"/>
          </w:rPr>
          <w:t>Reference Guide on External Education Financing</w:t>
        </w:r>
      </w:hyperlink>
    </w:p>
    <w:p w:rsidR="00177338" w:rsidRPr="00177338" w:rsidRDefault="00177338" w:rsidP="00177338">
      <w:pPr>
        <w:bidi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1C7E71" w:rsidRPr="00177338" w:rsidRDefault="00177338" w:rsidP="003F3D38">
      <w:pPr>
        <w:pStyle w:val="ListParagraph"/>
        <w:numPr>
          <w:ilvl w:val="0"/>
          <w:numId w:val="4"/>
        </w:numPr>
        <w:bidi/>
        <w:spacing w:after="24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77338">
        <w:rPr>
          <w:rFonts w:ascii="Arial" w:hAnsi="Arial" w:cs="Arial" w:hint="cs"/>
          <w:b/>
          <w:bCs/>
          <w:sz w:val="20"/>
          <w:szCs w:val="20"/>
          <w:rtl/>
        </w:rPr>
        <w:t>الانضمام للآيني</w:t>
      </w:r>
      <w:bookmarkStart w:id="0" w:name="_GoBack"/>
      <w:bookmarkEnd w:id="0"/>
    </w:p>
    <w:p w:rsidR="000C6635" w:rsidRDefault="00177338" w:rsidP="00177338">
      <w:pPr>
        <w:bidi/>
        <w:spacing w:after="0"/>
        <w:rPr>
          <w:rFonts w:ascii="Arial" w:hAnsi="Arial" w:cs="Arial"/>
          <w:sz w:val="20"/>
          <w:szCs w:val="20"/>
          <w:rtl/>
        </w:rPr>
      </w:pPr>
      <w:r>
        <w:rPr>
          <w:rFonts w:ascii="Arial" w:hAnsi="Arial" w:cs="Arial" w:hint="cs"/>
          <w:sz w:val="20"/>
          <w:szCs w:val="20"/>
          <w:rtl/>
        </w:rPr>
        <w:t xml:space="preserve">من فضلكم انظموا للآيني إذا لم تقوموا بذلك بعد. ستكلفكم بضع دقائق فقط لكي تكونوا أعضاء في الآيني والعضوية مجانية للجميع. لكي تنضموا، زوروا موقع </w:t>
      </w:r>
      <w:r>
        <w:rPr>
          <w:rFonts w:ascii="Arial" w:hAnsi="Arial" w:cs="Arial"/>
          <w:sz w:val="20"/>
          <w:szCs w:val="20"/>
        </w:rPr>
        <w:t>www.ineesite.org</w:t>
      </w:r>
      <w:r>
        <w:rPr>
          <w:rFonts w:ascii="Arial" w:hAnsi="Arial" w:cs="Arial" w:hint="cs"/>
          <w:sz w:val="20"/>
          <w:szCs w:val="20"/>
          <w:rtl/>
        </w:rPr>
        <w:t xml:space="preserve"> وانقروا على رابط إنضم (في الزاوية العليا على يمين الصفحة).  عندما تصبحوا أعضاء يمكنكم كذلك أن تطلبوا موافاتكم بنسخ ورقية من موارد الآيني </w:t>
      </w:r>
      <w:hyperlink r:id="rId18" w:history="1">
        <w:r w:rsidRPr="0024743A">
          <w:rPr>
            <w:rStyle w:val="Hyperlink"/>
            <w:rFonts w:ascii="Arial" w:hAnsi="Arial" w:cs="Arial"/>
            <w:sz w:val="20"/>
            <w:szCs w:val="20"/>
          </w:rPr>
          <w:t>sent to you</w:t>
        </w:r>
      </w:hyperlink>
      <w:r>
        <w:rPr>
          <w:rFonts w:ascii="Arial" w:hAnsi="Arial" w:cs="Arial" w:hint="cs"/>
          <w:sz w:val="20"/>
          <w:szCs w:val="20"/>
          <w:rtl/>
        </w:rPr>
        <w:t xml:space="preserve">. </w:t>
      </w:r>
    </w:p>
    <w:p w:rsidR="00537BFE" w:rsidRPr="00537BFE" w:rsidRDefault="00B869F4" w:rsidP="00537BFE">
      <w:pPr>
        <w:bidi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 w:hint="cs"/>
          <w:sz w:val="20"/>
          <w:szCs w:val="20"/>
          <w:rtl/>
        </w:rPr>
        <w:t xml:space="preserve">تطمح سكرتارية الآيني أن تعرف كيف تستعملون حزمة الآيني للتعليم المراعي لظروف النزاع </w:t>
      </w:r>
      <w:r w:rsidR="00537BFE">
        <w:rPr>
          <w:rFonts w:ascii="Arial" w:hAnsi="Arial" w:cs="Arial" w:hint="cs"/>
          <w:sz w:val="20"/>
          <w:szCs w:val="20"/>
          <w:rtl/>
          <w:lang w:bidi="ar-EG"/>
        </w:rPr>
        <w:t xml:space="preserve">ومواد التدريب. المرجو منكم البقاء على اتصال معهم من خلال إرسال أي قصص أو جديد حول عملكم إلى </w:t>
      </w:r>
      <w:hyperlink r:id="rId19" w:history="1">
        <w:r w:rsidR="00537BFE" w:rsidRPr="00537BFE">
          <w:rPr>
            <w:rStyle w:val="Hyperlink"/>
            <w:rFonts w:ascii="Arial" w:hAnsi="Arial" w:cs="Arial"/>
            <w:sz w:val="20"/>
            <w:szCs w:val="20"/>
          </w:rPr>
          <w:t>csetraining@ineesite.org</w:t>
        </w:r>
      </w:hyperlink>
    </w:p>
    <w:p w:rsidR="00177338" w:rsidRDefault="00177338" w:rsidP="00177338">
      <w:pPr>
        <w:bidi/>
        <w:spacing w:after="0"/>
        <w:rPr>
          <w:rFonts w:ascii="Arial" w:hAnsi="Arial" w:cs="Arial"/>
          <w:sz w:val="20"/>
          <w:szCs w:val="20"/>
          <w:rtl/>
          <w:lang w:bidi="ar-EG"/>
        </w:rPr>
      </w:pPr>
    </w:p>
    <w:p w:rsidR="00537BFE" w:rsidRDefault="00537BFE" w:rsidP="00537BFE">
      <w:pPr>
        <w:bidi/>
        <w:spacing w:after="0"/>
        <w:rPr>
          <w:rFonts w:ascii="Arial" w:hAnsi="Arial" w:cs="Arial"/>
          <w:sz w:val="20"/>
          <w:szCs w:val="20"/>
          <w:rtl/>
          <w:lang w:bidi="ar-EG"/>
        </w:rPr>
      </w:pPr>
      <w:r>
        <w:rPr>
          <w:rFonts w:ascii="Arial" w:hAnsi="Arial" w:cs="Arial" w:hint="cs"/>
          <w:sz w:val="20"/>
          <w:szCs w:val="20"/>
          <w:rtl/>
          <w:lang w:bidi="ar-EG"/>
        </w:rPr>
        <w:t xml:space="preserve">مرة أخرى، لقد استمتعنا بالعمل معكم جميعا خلال الورشة. </w:t>
      </w:r>
    </w:p>
    <w:p w:rsidR="00537BFE" w:rsidRDefault="00537BFE" w:rsidP="00537BFE">
      <w:pPr>
        <w:bidi/>
        <w:spacing w:after="0"/>
        <w:rPr>
          <w:rFonts w:ascii="Arial" w:hAnsi="Arial" w:cs="Arial"/>
          <w:sz w:val="20"/>
          <w:szCs w:val="20"/>
          <w:rtl/>
          <w:lang w:bidi="ar-EG"/>
        </w:rPr>
      </w:pPr>
    </w:p>
    <w:p w:rsidR="00537BFE" w:rsidRDefault="00537BFE" w:rsidP="00537BFE">
      <w:pPr>
        <w:bidi/>
        <w:spacing w:after="0"/>
        <w:rPr>
          <w:rFonts w:ascii="Arial" w:hAnsi="Arial" w:cs="Arial"/>
          <w:sz w:val="20"/>
          <w:szCs w:val="20"/>
          <w:rtl/>
          <w:lang w:bidi="ar-EG"/>
        </w:rPr>
      </w:pPr>
      <w:r>
        <w:rPr>
          <w:rFonts w:ascii="Arial" w:hAnsi="Arial" w:cs="Arial" w:hint="cs"/>
          <w:sz w:val="20"/>
          <w:szCs w:val="20"/>
          <w:rtl/>
          <w:lang w:bidi="ar-EG"/>
        </w:rPr>
        <w:t>مع بالغ تقديرنا</w:t>
      </w:r>
    </w:p>
    <w:p w:rsidR="00537BFE" w:rsidRPr="000C6635" w:rsidRDefault="00537BFE" w:rsidP="00537BFE">
      <w:pPr>
        <w:bidi/>
      </w:pPr>
      <w:proofErr w:type="gramStart"/>
      <w:r w:rsidRPr="000C6635">
        <w:rPr>
          <w:highlight w:val="yellow"/>
        </w:rPr>
        <w:t>xxx</w:t>
      </w:r>
      <w:proofErr w:type="gramEnd"/>
    </w:p>
    <w:p w:rsidR="00537BFE" w:rsidRPr="0024743A" w:rsidRDefault="00537BFE" w:rsidP="00537BFE">
      <w:pPr>
        <w:bidi/>
        <w:spacing w:after="0"/>
        <w:rPr>
          <w:rFonts w:ascii="Arial" w:hAnsi="Arial" w:cs="Arial"/>
          <w:sz w:val="20"/>
          <w:szCs w:val="20"/>
          <w:lang w:bidi="ar-EG"/>
        </w:rPr>
      </w:pPr>
    </w:p>
    <w:p w:rsidR="000C6635" w:rsidRPr="0024743A" w:rsidRDefault="000C6635" w:rsidP="000C6635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0C6635" w:rsidRPr="0024743A" w:rsidSect="00CA02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D46BA"/>
    <w:multiLevelType w:val="hybridMultilevel"/>
    <w:tmpl w:val="510CAABA"/>
    <w:lvl w:ilvl="0" w:tplc="30A463E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0020F8"/>
    <w:multiLevelType w:val="hybridMultilevel"/>
    <w:tmpl w:val="C1B6FA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544F9"/>
    <w:multiLevelType w:val="hybridMultilevel"/>
    <w:tmpl w:val="9F063CD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B01E97"/>
    <w:multiLevelType w:val="hybridMultilevel"/>
    <w:tmpl w:val="D2A0F8F4"/>
    <w:lvl w:ilvl="0" w:tplc="01E2B192">
      <w:start w:val="1"/>
      <w:numFmt w:val="decimal"/>
      <w:lvlText w:val="%1."/>
      <w:lvlJc w:val="left"/>
      <w:pPr>
        <w:ind w:left="720" w:hanging="360"/>
      </w:pPr>
    </w:lvl>
    <w:lvl w:ilvl="1" w:tplc="30A463EE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AC149A"/>
    <w:multiLevelType w:val="hybridMultilevel"/>
    <w:tmpl w:val="2BC0C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174C83"/>
    <w:multiLevelType w:val="hybridMultilevel"/>
    <w:tmpl w:val="450A0F32"/>
    <w:lvl w:ilvl="0" w:tplc="2DB83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E85298"/>
    <w:multiLevelType w:val="hybridMultilevel"/>
    <w:tmpl w:val="9B44050E"/>
    <w:lvl w:ilvl="0" w:tplc="30A463E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51373F"/>
    <w:multiLevelType w:val="hybridMultilevel"/>
    <w:tmpl w:val="4AC001E2"/>
    <w:lvl w:ilvl="0" w:tplc="30A463E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04743"/>
    <w:rsid w:val="00004743"/>
    <w:rsid w:val="0008543F"/>
    <w:rsid w:val="000C6635"/>
    <w:rsid w:val="00177338"/>
    <w:rsid w:val="0018009F"/>
    <w:rsid w:val="001C7E71"/>
    <w:rsid w:val="003F3D38"/>
    <w:rsid w:val="00490E1E"/>
    <w:rsid w:val="00537BFE"/>
    <w:rsid w:val="0058569A"/>
    <w:rsid w:val="00652EF7"/>
    <w:rsid w:val="006D5673"/>
    <w:rsid w:val="006E4E06"/>
    <w:rsid w:val="008208CE"/>
    <w:rsid w:val="00925AD2"/>
    <w:rsid w:val="00984C6A"/>
    <w:rsid w:val="00A22B26"/>
    <w:rsid w:val="00B11CBF"/>
    <w:rsid w:val="00B76A2D"/>
    <w:rsid w:val="00B869F4"/>
    <w:rsid w:val="00C70F30"/>
    <w:rsid w:val="00CA02D2"/>
    <w:rsid w:val="00E900F7"/>
    <w:rsid w:val="00F8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382FBBE-E160-41DC-8347-2316269E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6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74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0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8C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5AD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800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1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7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etraining@ineesite.org" TargetMode="External"/><Relationship Id="rId13" Type="http://schemas.openxmlformats.org/officeDocument/2006/relationships/hyperlink" Target="http://www.ineesite.org/en/materials/inee-guidance-notes-on-safer-school-construction" TargetMode="External"/><Relationship Id="rId18" Type="http://schemas.openxmlformats.org/officeDocument/2006/relationships/hyperlink" Target="http://www.ineesite.org/en/materials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toolkit.ineesite.org/toolkit/Toolkit.php?PostID=1159" TargetMode="External"/><Relationship Id="rId12" Type="http://schemas.openxmlformats.org/officeDocument/2006/relationships/hyperlink" Target="http://www.ineesite.org/en/materials/inee-guidance-notes-on-teacher-compensation" TargetMode="External"/><Relationship Id="rId17" Type="http://schemas.openxmlformats.org/officeDocument/2006/relationships/hyperlink" Target="http://www.ineesite.org/uploads/files/resources/INEE_Reference_Guide_on_External_Education_Financing_(Eng)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toolkit.ineesite.org/toolkit/INEEcms/uploads/1138/INEE_Pocket_Guide_Learners_w_Disabilities.pd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ineesite.org/en/education-fragility/conflict-sensitive-education" TargetMode="External"/><Relationship Id="rId11" Type="http://schemas.openxmlformats.org/officeDocument/2006/relationships/hyperlink" Target="http://www.ineesite.org/en/materials/inee-guidance-notes-on-teaching-and-learning" TargetMode="External"/><Relationship Id="rId5" Type="http://schemas.openxmlformats.org/officeDocument/2006/relationships/hyperlink" Target="http://www.ineesite.org/en/materials" TargetMode="External"/><Relationship Id="rId15" Type="http://schemas.openxmlformats.org/officeDocument/2006/relationships/hyperlink" Target="http://www.ineesite.org/en/materials/inee-pocket-guide-to-inclusive-education-in-emergencies" TargetMode="External"/><Relationship Id="rId10" Type="http://schemas.openxmlformats.org/officeDocument/2006/relationships/hyperlink" Target="http://www.ineesite.org/eietrainingmodule/cases/learningistheirfuture/pdf/Minimum_Standards_English_2010.pdf" TargetMode="External"/><Relationship Id="rId19" Type="http://schemas.openxmlformats.org/officeDocument/2006/relationships/hyperlink" Target="mailto:csetraining@ineesite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eesite.org/" TargetMode="External"/><Relationship Id="rId14" Type="http://schemas.openxmlformats.org/officeDocument/2006/relationships/hyperlink" Target="http://toolkit.ineesite.org/toolkit/Toolkit.php?PostID=10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Rescue Committee</Company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Landon</dc:creator>
  <cp:lastModifiedBy>Mohammed Elmeski</cp:lastModifiedBy>
  <cp:revision>7</cp:revision>
  <dcterms:created xsi:type="dcterms:W3CDTF">2013-04-02T17:33:00Z</dcterms:created>
  <dcterms:modified xsi:type="dcterms:W3CDTF">2014-08-09T22:14:00Z</dcterms:modified>
</cp:coreProperties>
</file>