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A46" w:rsidRDefault="00FC3A46" w:rsidP="00297C5A">
      <w:pPr>
        <w:pBdr>
          <w:top w:val="single" w:sz="12" w:space="1" w:color="auto"/>
          <w:bottom w:val="single" w:sz="12" w:space="1" w:color="auto"/>
        </w:pBdr>
        <w:spacing w:after="120" w:line="240" w:lineRule="auto"/>
        <w:jc w:val="center"/>
        <w:outlineLvl w:val="0"/>
        <w:rPr>
          <w:rFonts w:ascii="Arial" w:eastAsia="Times" w:hAnsi="Arial" w:cs="Arial"/>
          <w:b/>
          <w:sz w:val="28"/>
          <w:szCs w:val="28"/>
        </w:rPr>
      </w:pPr>
      <w:bookmarkStart w:id="0" w:name="_Toc263342003"/>
      <w:r w:rsidRPr="0000781D">
        <w:rPr>
          <w:rFonts w:ascii="Arial" w:eastAsia="Times" w:hAnsi="Arial" w:cs="Arial"/>
          <w:b/>
          <w:sz w:val="28"/>
          <w:szCs w:val="28"/>
        </w:rPr>
        <w:t xml:space="preserve">Module </w:t>
      </w:r>
      <w:r w:rsidR="00C72F64">
        <w:rPr>
          <w:rFonts w:ascii="Arial" w:eastAsia="Times" w:hAnsi="Arial" w:cs="Arial"/>
          <w:b/>
          <w:sz w:val="28"/>
          <w:szCs w:val="28"/>
        </w:rPr>
        <w:t>9</w:t>
      </w:r>
      <w:r w:rsidRPr="0000781D">
        <w:rPr>
          <w:rFonts w:ascii="Arial" w:eastAsia="Times" w:hAnsi="Arial" w:cs="Arial"/>
          <w:b/>
          <w:sz w:val="28"/>
          <w:szCs w:val="28"/>
        </w:rPr>
        <w:t xml:space="preserve">: </w:t>
      </w:r>
      <w:bookmarkEnd w:id="0"/>
      <w:r w:rsidR="00C72F64">
        <w:rPr>
          <w:rFonts w:ascii="Arial" w:eastAsia="Times" w:hAnsi="Arial" w:cs="Arial"/>
          <w:b/>
          <w:sz w:val="28"/>
          <w:szCs w:val="28"/>
        </w:rPr>
        <w:t>Contingency Planning</w:t>
      </w:r>
    </w:p>
    <w:p w:rsidR="00C72F64" w:rsidRPr="00C72F64" w:rsidRDefault="00C72F64" w:rsidP="00C72F64">
      <w:pPr>
        <w:pBdr>
          <w:top w:val="single" w:sz="12" w:space="1" w:color="auto"/>
          <w:bottom w:val="single" w:sz="12" w:space="1" w:color="auto"/>
        </w:pBdr>
        <w:spacing w:line="240" w:lineRule="auto"/>
        <w:jc w:val="center"/>
        <w:outlineLvl w:val="0"/>
        <w:rPr>
          <w:rFonts w:ascii="Arial" w:eastAsia="Times" w:hAnsi="Arial" w:cs="Arial"/>
          <w:b/>
          <w:sz w:val="16"/>
          <w:szCs w:val="16"/>
        </w:rPr>
      </w:pPr>
    </w:p>
    <w:p w:rsidR="00FC3A46" w:rsidRPr="00951243" w:rsidRDefault="00FC3A46" w:rsidP="00FC3A46">
      <w:pPr>
        <w:rPr>
          <w:b/>
        </w:rPr>
      </w:pPr>
      <w:r>
        <w:rPr>
          <w:rFonts w:ascii="Wingdings" w:eastAsia="ヒラギノ角ゴ Pro W3" w:hAnsi="Wingdings"/>
          <w:color w:val="000000"/>
          <w:sz w:val="22"/>
        </w:rPr>
        <w:t></w:t>
      </w:r>
      <w:r w:rsidRPr="00951243">
        <w:rPr>
          <w:b/>
        </w:rPr>
        <w:t xml:space="preserve">Time: </w:t>
      </w:r>
      <w:r w:rsidR="00C72F64">
        <w:rPr>
          <w:b/>
        </w:rPr>
        <w:t>4 hours 45</w:t>
      </w:r>
      <w:r w:rsidRPr="00951243">
        <w:rPr>
          <w:b/>
        </w:rPr>
        <w:t xml:space="preserve"> minutes</w:t>
      </w:r>
    </w:p>
    <w:p w:rsidR="002F036D" w:rsidRPr="000D4B2E" w:rsidRDefault="002F036D" w:rsidP="00297C5A">
      <w:pPr>
        <w:spacing w:before="240" w:after="120" w:line="240" w:lineRule="auto"/>
        <w:rPr>
          <w:rFonts w:ascii="Arial" w:hAnsi="Arial" w:cs="Arial"/>
          <w:b/>
          <w:sz w:val="22"/>
          <w:szCs w:val="22"/>
        </w:rPr>
      </w:pPr>
      <w:r w:rsidRPr="00DF5428">
        <w:rPr>
          <w:rFonts w:ascii="Arial Bold" w:hAnsi="Arial Bold" w:cs="Arial"/>
          <w:b/>
          <w:sz w:val="32"/>
          <w:szCs w:val="22"/>
        </w:rPr>
        <w:sym w:font="Wingdings" w:char="F026"/>
      </w:r>
      <w:r w:rsidRPr="000D4B2E">
        <w:rPr>
          <w:rFonts w:ascii="Arial" w:hAnsi="Arial" w:cs="Arial"/>
          <w:b/>
          <w:sz w:val="22"/>
          <w:szCs w:val="22"/>
        </w:rPr>
        <w:t>Learning Objectives</w:t>
      </w:r>
    </w:p>
    <w:p w:rsidR="002F036D" w:rsidRDefault="002F036D" w:rsidP="002F036D">
      <w:pPr>
        <w:shd w:val="clear" w:color="auto" w:fill="F2F2F2" w:themeFill="background1" w:themeFillShade="F2"/>
        <w:spacing w:after="60"/>
        <w:ind w:left="360"/>
      </w:pPr>
      <w:r w:rsidRPr="00DF5428">
        <w:rPr>
          <w:rStyle w:val="boldstatesm"/>
          <w:spacing w:val="11"/>
          <w:sz w:val="22"/>
        </w:rPr>
        <w:t>At the end of this session participants will be able to:</w:t>
      </w:r>
    </w:p>
    <w:p w:rsidR="00C72F64" w:rsidRPr="00C72F64" w:rsidRDefault="00C72F64" w:rsidP="00C72F64">
      <w:pPr>
        <w:numPr>
          <w:ilvl w:val="0"/>
          <w:numId w:val="10"/>
        </w:numPr>
        <w:shd w:val="clear" w:color="auto" w:fill="F2F2F2" w:themeFill="background1" w:themeFillShade="F2"/>
        <w:spacing w:after="120" w:line="240" w:lineRule="auto"/>
        <w:jc w:val="both"/>
        <w:rPr>
          <w:rFonts w:ascii="Arial" w:hAnsi="Arial" w:cs="Arial"/>
          <w:bCs/>
          <w:sz w:val="22"/>
          <w:szCs w:val="22"/>
        </w:rPr>
      </w:pPr>
      <w:r w:rsidRPr="00C72F64">
        <w:rPr>
          <w:rFonts w:ascii="Arial" w:hAnsi="Arial" w:cs="Arial"/>
          <w:bCs/>
          <w:sz w:val="22"/>
          <w:szCs w:val="22"/>
        </w:rPr>
        <w:t>Understand what is contingency planning and why it is important.</w:t>
      </w:r>
    </w:p>
    <w:p w:rsidR="00C72F64" w:rsidRPr="00C72F64" w:rsidRDefault="00C72F64" w:rsidP="00C72F64">
      <w:pPr>
        <w:numPr>
          <w:ilvl w:val="0"/>
          <w:numId w:val="10"/>
        </w:numPr>
        <w:shd w:val="clear" w:color="auto" w:fill="F2F2F2" w:themeFill="background1" w:themeFillShade="F2"/>
        <w:spacing w:after="120" w:line="240" w:lineRule="auto"/>
        <w:jc w:val="both"/>
        <w:rPr>
          <w:rFonts w:ascii="Arial" w:hAnsi="Arial" w:cs="Arial"/>
          <w:bCs/>
          <w:sz w:val="22"/>
          <w:szCs w:val="22"/>
        </w:rPr>
      </w:pPr>
      <w:r w:rsidRPr="00C72F64">
        <w:rPr>
          <w:rFonts w:ascii="Arial" w:hAnsi="Arial" w:cs="Arial"/>
          <w:bCs/>
          <w:sz w:val="22"/>
          <w:szCs w:val="22"/>
        </w:rPr>
        <w:t>Understand the key components of the contingency planning process.</w:t>
      </w:r>
    </w:p>
    <w:p w:rsidR="00C72F64" w:rsidRPr="00C72F64" w:rsidRDefault="00C72F64" w:rsidP="00C72F64">
      <w:pPr>
        <w:numPr>
          <w:ilvl w:val="0"/>
          <w:numId w:val="10"/>
        </w:numPr>
        <w:shd w:val="clear" w:color="auto" w:fill="F2F2F2" w:themeFill="background1" w:themeFillShade="F2"/>
        <w:spacing w:after="120" w:line="240" w:lineRule="auto"/>
        <w:jc w:val="both"/>
        <w:rPr>
          <w:rFonts w:ascii="Arial" w:hAnsi="Arial" w:cs="Arial"/>
          <w:bCs/>
          <w:sz w:val="22"/>
          <w:szCs w:val="22"/>
        </w:rPr>
      </w:pPr>
      <w:r w:rsidRPr="00C72F64">
        <w:rPr>
          <w:rFonts w:ascii="Arial" w:hAnsi="Arial" w:cs="Arial"/>
          <w:bCs/>
          <w:sz w:val="22"/>
          <w:szCs w:val="22"/>
        </w:rPr>
        <w:t>Understand how to develop a contingency planning document.</w:t>
      </w:r>
    </w:p>
    <w:p w:rsidR="00C72F64" w:rsidRDefault="00C72F64" w:rsidP="00C72F64">
      <w:pPr>
        <w:numPr>
          <w:ilvl w:val="0"/>
          <w:numId w:val="10"/>
        </w:numPr>
        <w:shd w:val="clear" w:color="auto" w:fill="F2F2F2" w:themeFill="background1" w:themeFillShade="F2"/>
        <w:spacing w:after="120" w:line="240" w:lineRule="auto"/>
        <w:jc w:val="both"/>
        <w:rPr>
          <w:rFonts w:ascii="Arial" w:hAnsi="Arial" w:cs="Arial"/>
          <w:bCs/>
          <w:sz w:val="22"/>
          <w:szCs w:val="22"/>
        </w:rPr>
      </w:pPr>
      <w:r w:rsidRPr="00C72F64">
        <w:rPr>
          <w:rFonts w:ascii="Arial" w:hAnsi="Arial" w:cs="Arial"/>
          <w:bCs/>
          <w:sz w:val="22"/>
          <w:szCs w:val="22"/>
        </w:rPr>
        <w:t>Begin the contingency planning process.</w:t>
      </w:r>
    </w:p>
    <w:p w:rsidR="00C72F64" w:rsidRDefault="00C72F64" w:rsidP="00297C5A">
      <w:pPr>
        <w:spacing w:before="240" w:after="120" w:line="240" w:lineRule="auto"/>
        <w:rPr>
          <w:rFonts w:ascii="Arial" w:hAnsi="Arial" w:cs="Arial"/>
          <w:b/>
          <w:sz w:val="22"/>
          <w:szCs w:val="22"/>
        </w:rPr>
      </w:pPr>
    </w:p>
    <w:p w:rsidR="002F036D" w:rsidRPr="00DF5428" w:rsidRDefault="00985CB2" w:rsidP="00297C5A">
      <w:pPr>
        <w:spacing w:before="240" w:after="120" w:line="240" w:lineRule="auto"/>
        <w:rPr>
          <w:rFonts w:ascii="Arial" w:hAnsi="Arial" w:cs="Arial"/>
          <w:b/>
          <w:sz w:val="22"/>
          <w:szCs w:val="22"/>
        </w:rPr>
      </w:pPr>
      <w:r>
        <w:rPr>
          <w:rFonts w:ascii="Arial" w:hAnsi="Arial" w:cs="Arial"/>
          <w:b/>
          <w:noProof/>
          <w:sz w:val="22"/>
          <w:szCs w:val="22"/>
          <w:lang w:eastAsia="en-GB"/>
        </w:rPr>
        <w:drawing>
          <wp:inline distT="0" distB="0" distL="0" distR="0">
            <wp:extent cx="187005" cy="184727"/>
            <wp:effectExtent l="19050" t="0" r="3495" b="0"/>
            <wp:docPr id="1" name="Picture 71" descr="C:\Documents and Settings\jsparkes\Desktop\key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Documents and Settings\jsparkes\Desktop\key2.png"/>
                    <pic:cNvPicPr>
                      <a:picLocks noChangeAspect="1" noChangeArrowheads="1"/>
                    </pic:cNvPicPr>
                  </pic:nvPicPr>
                  <pic:blipFill>
                    <a:blip r:embed="rId8" cstate="print"/>
                    <a:srcRect/>
                    <a:stretch>
                      <a:fillRect/>
                    </a:stretch>
                  </pic:blipFill>
                  <pic:spPr bwMode="auto">
                    <a:xfrm>
                      <a:off x="0" y="0"/>
                      <a:ext cx="187005" cy="184727"/>
                    </a:xfrm>
                    <a:prstGeom prst="rect">
                      <a:avLst/>
                    </a:prstGeom>
                    <a:noFill/>
                    <a:ln w="9525">
                      <a:noFill/>
                      <a:miter lim="800000"/>
                      <a:headEnd/>
                      <a:tailEnd/>
                    </a:ln>
                  </pic:spPr>
                </pic:pic>
              </a:graphicData>
            </a:graphic>
          </wp:inline>
        </w:drawing>
      </w:r>
      <w:r w:rsidR="002F036D" w:rsidRPr="00B95FA2">
        <w:rPr>
          <w:rFonts w:ascii="Arial" w:hAnsi="Arial" w:cs="Arial"/>
          <w:b/>
          <w:sz w:val="22"/>
          <w:szCs w:val="22"/>
        </w:rPr>
        <w:t>Key Messages</w:t>
      </w:r>
      <w:r w:rsidRPr="00B95FA2">
        <w:rPr>
          <w:rFonts w:ascii="Arial" w:hAnsi="Arial" w:cs="Arial"/>
          <w:b/>
          <w:sz w:val="22"/>
          <w:szCs w:val="22"/>
        </w:rPr>
        <w:t xml:space="preserve"> </w:t>
      </w:r>
      <w:r w:rsidR="00B95FA2" w:rsidRPr="00B95FA2">
        <w:rPr>
          <w:rFonts w:ascii="Arial" w:hAnsi="Arial" w:cs="Arial"/>
          <w:b/>
          <w:sz w:val="22"/>
          <w:szCs w:val="22"/>
        </w:rPr>
        <w:t>and Learning P</w:t>
      </w:r>
      <w:r w:rsidR="00B95FA2">
        <w:rPr>
          <w:rFonts w:ascii="Arial" w:hAnsi="Arial" w:cs="Arial"/>
          <w:b/>
          <w:sz w:val="22"/>
          <w:szCs w:val="22"/>
        </w:rPr>
        <w:t>o</w:t>
      </w:r>
      <w:r w:rsidR="00B95FA2" w:rsidRPr="00B95FA2">
        <w:rPr>
          <w:rFonts w:ascii="Arial" w:hAnsi="Arial" w:cs="Arial"/>
          <w:b/>
          <w:sz w:val="22"/>
          <w:szCs w:val="22"/>
        </w:rPr>
        <w:t>ints</w:t>
      </w:r>
    </w:p>
    <w:p w:rsidR="00C72F64" w:rsidRDefault="00C72F64" w:rsidP="00C72F64">
      <w:pPr>
        <w:pStyle w:val="dots"/>
        <w:numPr>
          <w:ilvl w:val="0"/>
          <w:numId w:val="11"/>
        </w:numPr>
        <w:jc w:val="both"/>
        <w:rPr>
          <w:rFonts w:ascii="Arial" w:hAnsi="Arial"/>
          <w:sz w:val="22"/>
        </w:rPr>
      </w:pPr>
      <w:r>
        <w:rPr>
          <w:rFonts w:ascii="Arial" w:hAnsi="Arial"/>
          <w:sz w:val="22"/>
        </w:rPr>
        <w:t>Contingency planning is an on-going process to reflect upon and prepare for various emergency scenarios.  The process occurs over a period of time with participation of key stakeholders.</w:t>
      </w:r>
    </w:p>
    <w:p w:rsidR="00C72F64" w:rsidRDefault="00C72F64" w:rsidP="00C72F64">
      <w:pPr>
        <w:pStyle w:val="dots"/>
        <w:numPr>
          <w:ilvl w:val="0"/>
          <w:numId w:val="11"/>
        </w:numPr>
        <w:jc w:val="both"/>
        <w:rPr>
          <w:rFonts w:ascii="Arial" w:hAnsi="Arial"/>
          <w:sz w:val="22"/>
        </w:rPr>
      </w:pPr>
      <w:r>
        <w:rPr>
          <w:rFonts w:ascii="Arial" w:hAnsi="Arial"/>
          <w:sz w:val="22"/>
        </w:rPr>
        <w:t>Developing a contingency plan for the education sector is a key preparedness activity.</w:t>
      </w:r>
    </w:p>
    <w:p w:rsidR="00C72F64" w:rsidRDefault="00C72F64" w:rsidP="00C72F64">
      <w:pPr>
        <w:pStyle w:val="dots"/>
        <w:numPr>
          <w:ilvl w:val="0"/>
          <w:numId w:val="11"/>
        </w:numPr>
        <w:jc w:val="both"/>
        <w:rPr>
          <w:rFonts w:ascii="Arial" w:hAnsi="Arial"/>
          <w:sz w:val="22"/>
        </w:rPr>
      </w:pPr>
      <w:r>
        <w:rPr>
          <w:rFonts w:ascii="Arial" w:hAnsi="Arial"/>
          <w:sz w:val="22"/>
        </w:rPr>
        <w:t>A contingency plan can be developed at the national and/or local levels with key stakeholders that may be involved in emergency response.  For the education sector, this can include Education Cluster members, Ministry of Education staff at the national and local levels, community-based organisations, teachers, youth etc…</w:t>
      </w:r>
    </w:p>
    <w:p w:rsidR="00C72F64" w:rsidRDefault="00C72F64" w:rsidP="00C72F64">
      <w:pPr>
        <w:pStyle w:val="dots"/>
        <w:numPr>
          <w:ilvl w:val="0"/>
          <w:numId w:val="11"/>
        </w:numPr>
        <w:jc w:val="both"/>
        <w:rPr>
          <w:rFonts w:ascii="Arial" w:hAnsi="Arial"/>
          <w:sz w:val="22"/>
        </w:rPr>
      </w:pPr>
      <w:r>
        <w:rPr>
          <w:rFonts w:ascii="Arial" w:hAnsi="Arial"/>
          <w:sz w:val="22"/>
        </w:rPr>
        <w:t>Contingency planning should always include the Ministry of Education, preferably in a leadership role.</w:t>
      </w:r>
    </w:p>
    <w:p w:rsidR="00C72F64" w:rsidRDefault="00C72F64" w:rsidP="00C72F64">
      <w:pPr>
        <w:pStyle w:val="dots"/>
        <w:numPr>
          <w:ilvl w:val="0"/>
          <w:numId w:val="11"/>
        </w:numPr>
        <w:jc w:val="both"/>
        <w:rPr>
          <w:rFonts w:ascii="Arial" w:hAnsi="Arial"/>
          <w:sz w:val="22"/>
        </w:rPr>
      </w:pPr>
      <w:r>
        <w:rPr>
          <w:rFonts w:ascii="Arial" w:hAnsi="Arial"/>
          <w:sz w:val="22"/>
        </w:rPr>
        <w:t>A contingency plan document is one of the key results of the process.  It is a living document whose activities should be implemented as part of emergency preparedness.  The document’s plan should be reviewed and revised regularly, usually on an annual basis.</w:t>
      </w:r>
    </w:p>
    <w:p w:rsidR="00C72F64" w:rsidRDefault="00C72F64" w:rsidP="00C72F64">
      <w:pPr>
        <w:pStyle w:val="dots"/>
        <w:numPr>
          <w:ilvl w:val="0"/>
          <w:numId w:val="11"/>
        </w:numPr>
        <w:spacing w:after="120"/>
        <w:jc w:val="both"/>
        <w:rPr>
          <w:rFonts w:ascii="Arial" w:hAnsi="Arial"/>
          <w:sz w:val="22"/>
        </w:rPr>
      </w:pPr>
      <w:r w:rsidRPr="00ED56DD">
        <w:rPr>
          <w:rFonts w:ascii="Arial" w:hAnsi="Arial"/>
          <w:sz w:val="22"/>
        </w:rPr>
        <w:t xml:space="preserve">It is important that even though contingency plans are developed for individual sectors, there needs to be coordination with other sectors to ensure there is not an overlap or gap in service provision.  </w:t>
      </w:r>
    </w:p>
    <w:p w:rsidR="00DA17C9" w:rsidRDefault="00DA17C9">
      <w:pPr>
        <w:spacing w:after="200"/>
        <w:rPr>
          <w:rFonts w:ascii="Arial" w:hAnsi="Arial" w:cs="Arial"/>
          <w:b/>
          <w:sz w:val="22"/>
          <w:szCs w:val="22"/>
        </w:rPr>
      </w:pPr>
    </w:p>
    <w:p w:rsidR="007511D1" w:rsidRPr="00951243" w:rsidRDefault="007511D1" w:rsidP="00297C5A">
      <w:pPr>
        <w:spacing w:before="240" w:after="120" w:line="240" w:lineRule="auto"/>
        <w:rPr>
          <w:rFonts w:ascii="Arial" w:hAnsi="Arial" w:cs="Arial"/>
          <w:b/>
          <w:sz w:val="22"/>
          <w:szCs w:val="22"/>
        </w:rPr>
      </w:pPr>
      <w:r w:rsidRPr="00951243">
        <w:rPr>
          <w:rFonts w:ascii="Arial" w:hAnsi="Arial" w:cs="Arial"/>
          <w:b/>
          <w:sz w:val="22"/>
          <w:szCs w:val="22"/>
        </w:rPr>
        <w:t>Session Outline</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36"/>
        <w:gridCol w:w="2126"/>
        <w:gridCol w:w="2986"/>
      </w:tblGrid>
      <w:tr w:rsidR="007511D1" w:rsidRPr="006A2BE5" w:rsidTr="00C72F64">
        <w:tc>
          <w:tcPr>
            <w:tcW w:w="2175" w:type="pct"/>
            <w:tcBorders>
              <w:top w:val="single" w:sz="12" w:space="0" w:color="auto"/>
              <w:left w:val="nil"/>
              <w:bottom w:val="single" w:sz="4"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Content</w:t>
            </w:r>
          </w:p>
        </w:tc>
        <w:tc>
          <w:tcPr>
            <w:tcW w:w="1175" w:type="pct"/>
            <w:tcBorders>
              <w:top w:val="single" w:sz="12" w:space="0" w:color="auto"/>
              <w:left w:val="nil"/>
              <w:bottom w:val="single" w:sz="4" w:space="0" w:color="auto"/>
              <w:right w:val="nil"/>
            </w:tcBorders>
            <w:tcMar>
              <w:left w:w="57" w:type="dxa"/>
              <w:right w:w="57" w:type="dxa"/>
            </w:tcMar>
          </w:tcPr>
          <w:p w:rsidR="007511D1" w:rsidRPr="006A2BE5" w:rsidRDefault="007511D1" w:rsidP="000F095B">
            <w:pPr>
              <w:jc w:val="both"/>
              <w:rPr>
                <w:rFonts w:eastAsia="Calibri" w:cs="Arial"/>
                <w:b/>
                <w:bCs/>
                <w:szCs w:val="22"/>
              </w:rPr>
            </w:pPr>
            <w:r w:rsidRPr="006A2BE5">
              <w:rPr>
                <w:rFonts w:eastAsia="Calibri" w:cs="Arial"/>
                <w:b/>
                <w:bCs/>
                <w:szCs w:val="22"/>
              </w:rPr>
              <w:t>Approx. Time</w:t>
            </w:r>
          </w:p>
        </w:tc>
        <w:tc>
          <w:tcPr>
            <w:tcW w:w="1650" w:type="pct"/>
            <w:tcBorders>
              <w:top w:val="single" w:sz="12" w:space="0" w:color="auto"/>
              <w:left w:val="nil"/>
              <w:bottom w:val="single" w:sz="4"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Instructional Activity</w:t>
            </w:r>
          </w:p>
        </w:tc>
      </w:tr>
      <w:tr w:rsidR="007511D1" w:rsidRPr="006A2BE5" w:rsidTr="00C72F64">
        <w:tc>
          <w:tcPr>
            <w:tcW w:w="2175" w:type="pct"/>
            <w:tcBorders>
              <w:top w:val="single" w:sz="4" w:space="0" w:color="auto"/>
              <w:left w:val="nil"/>
              <w:bottom w:val="single" w:sz="4" w:space="0" w:color="auto"/>
              <w:right w:val="nil"/>
            </w:tcBorders>
          </w:tcPr>
          <w:p w:rsidR="007511D1" w:rsidRDefault="007511D1" w:rsidP="00C72F64">
            <w:pPr>
              <w:numPr>
                <w:ilvl w:val="0"/>
                <w:numId w:val="2"/>
              </w:numPr>
              <w:spacing w:line="240" w:lineRule="auto"/>
              <w:rPr>
                <w:rFonts w:cs="Arial"/>
                <w:szCs w:val="22"/>
              </w:rPr>
            </w:pPr>
            <w:r w:rsidRPr="00EB6E7C">
              <w:t>Introduction</w:t>
            </w:r>
            <w:r w:rsidR="000B744A">
              <w:t xml:space="preserve"> to </w:t>
            </w:r>
            <w:r w:rsidR="00C72F64">
              <w:t>Contingency Planning</w:t>
            </w:r>
          </w:p>
        </w:tc>
        <w:tc>
          <w:tcPr>
            <w:tcW w:w="1175" w:type="pct"/>
            <w:tcBorders>
              <w:top w:val="single" w:sz="4" w:space="0" w:color="auto"/>
              <w:left w:val="nil"/>
              <w:bottom w:val="single" w:sz="4" w:space="0" w:color="auto"/>
              <w:right w:val="nil"/>
            </w:tcBorders>
            <w:tcMar>
              <w:left w:w="57" w:type="dxa"/>
              <w:right w:w="57" w:type="dxa"/>
            </w:tcMar>
          </w:tcPr>
          <w:p w:rsidR="007511D1" w:rsidRDefault="007511D1" w:rsidP="00C72F64">
            <w:pPr>
              <w:rPr>
                <w:rFonts w:cs="Arial"/>
                <w:szCs w:val="22"/>
              </w:rPr>
            </w:pPr>
            <w:r>
              <w:rPr>
                <w:rFonts w:cs="Arial"/>
                <w:szCs w:val="22"/>
              </w:rPr>
              <w:t>20 minutes</w:t>
            </w:r>
          </w:p>
        </w:tc>
        <w:tc>
          <w:tcPr>
            <w:tcW w:w="1650" w:type="pct"/>
            <w:tcBorders>
              <w:top w:val="single" w:sz="4" w:space="0" w:color="auto"/>
              <w:left w:val="nil"/>
              <w:bottom w:val="single" w:sz="4" w:space="0" w:color="auto"/>
              <w:right w:val="nil"/>
            </w:tcBorders>
          </w:tcPr>
          <w:p w:rsidR="007511D1" w:rsidRDefault="000B744A" w:rsidP="000F095B">
            <w:pPr>
              <w:rPr>
                <w:rFonts w:cs="Arial"/>
                <w:szCs w:val="22"/>
              </w:rPr>
            </w:pPr>
            <w:r>
              <w:rPr>
                <w:rFonts w:cs="Arial"/>
                <w:szCs w:val="22"/>
              </w:rPr>
              <w:t>Presentation</w:t>
            </w:r>
          </w:p>
        </w:tc>
      </w:tr>
      <w:tr w:rsidR="007511D1" w:rsidRPr="006A2BE5" w:rsidTr="00C72F64">
        <w:tc>
          <w:tcPr>
            <w:tcW w:w="2175" w:type="pct"/>
            <w:tcBorders>
              <w:top w:val="single" w:sz="4" w:space="0" w:color="auto"/>
              <w:left w:val="nil"/>
              <w:bottom w:val="single" w:sz="4" w:space="0" w:color="auto"/>
              <w:right w:val="nil"/>
            </w:tcBorders>
          </w:tcPr>
          <w:p w:rsidR="007511D1" w:rsidRDefault="00C72F64" w:rsidP="00342592">
            <w:pPr>
              <w:numPr>
                <w:ilvl w:val="0"/>
                <w:numId w:val="2"/>
              </w:numPr>
              <w:spacing w:line="240" w:lineRule="auto"/>
              <w:rPr>
                <w:rFonts w:eastAsia="Calibri" w:cs="Arial"/>
                <w:szCs w:val="22"/>
              </w:rPr>
            </w:pPr>
            <w:r>
              <w:rPr>
                <w:rFonts w:eastAsia="Calibri" w:cs="Arial"/>
                <w:szCs w:val="22"/>
              </w:rPr>
              <w:t>Lessons Learned</w:t>
            </w:r>
          </w:p>
        </w:tc>
        <w:tc>
          <w:tcPr>
            <w:tcW w:w="1175" w:type="pct"/>
            <w:tcBorders>
              <w:top w:val="single" w:sz="4" w:space="0" w:color="auto"/>
              <w:left w:val="nil"/>
              <w:bottom w:val="single" w:sz="4" w:space="0" w:color="auto"/>
              <w:right w:val="nil"/>
            </w:tcBorders>
            <w:tcMar>
              <w:left w:w="57" w:type="dxa"/>
              <w:right w:w="57" w:type="dxa"/>
            </w:tcMar>
          </w:tcPr>
          <w:p w:rsidR="007511D1" w:rsidRDefault="00A5182E" w:rsidP="00C72F64">
            <w:pPr>
              <w:rPr>
                <w:rFonts w:eastAsia="Calibri" w:cs="Arial"/>
                <w:szCs w:val="22"/>
              </w:rPr>
            </w:pPr>
            <w:r>
              <w:rPr>
                <w:rFonts w:eastAsia="Calibri" w:cs="Arial"/>
                <w:szCs w:val="22"/>
              </w:rPr>
              <w:t>6</w:t>
            </w:r>
            <w:r w:rsidR="00AA6FFE">
              <w:rPr>
                <w:rFonts w:eastAsia="Calibri" w:cs="Arial"/>
                <w:szCs w:val="22"/>
              </w:rPr>
              <w:t>0</w:t>
            </w:r>
            <w:r w:rsidR="007511D1">
              <w:rPr>
                <w:rFonts w:eastAsia="Calibri" w:cs="Arial"/>
                <w:szCs w:val="22"/>
              </w:rPr>
              <w:t xml:space="preserve"> minutes</w:t>
            </w:r>
          </w:p>
        </w:tc>
        <w:tc>
          <w:tcPr>
            <w:tcW w:w="1650" w:type="pct"/>
            <w:tcBorders>
              <w:top w:val="single" w:sz="4" w:space="0" w:color="auto"/>
              <w:left w:val="nil"/>
              <w:bottom w:val="single" w:sz="4" w:space="0" w:color="auto"/>
              <w:right w:val="nil"/>
            </w:tcBorders>
          </w:tcPr>
          <w:p w:rsidR="007511D1" w:rsidRDefault="00C72F64" w:rsidP="000F095B">
            <w:pPr>
              <w:rPr>
                <w:rFonts w:eastAsia="Calibri" w:cs="Arial"/>
                <w:szCs w:val="22"/>
              </w:rPr>
            </w:pPr>
            <w:r>
              <w:rPr>
                <w:rFonts w:eastAsia="Calibri" w:cs="Arial"/>
                <w:szCs w:val="22"/>
              </w:rPr>
              <w:t>Group work</w:t>
            </w:r>
          </w:p>
        </w:tc>
      </w:tr>
      <w:tr w:rsidR="007511D1" w:rsidRPr="006A2BE5" w:rsidTr="00C72F64">
        <w:tc>
          <w:tcPr>
            <w:tcW w:w="2175" w:type="pct"/>
            <w:tcBorders>
              <w:top w:val="single" w:sz="4" w:space="0" w:color="auto"/>
              <w:left w:val="nil"/>
              <w:bottom w:val="single" w:sz="4" w:space="0" w:color="auto"/>
              <w:right w:val="nil"/>
            </w:tcBorders>
          </w:tcPr>
          <w:p w:rsidR="007511D1" w:rsidRPr="0071614E" w:rsidRDefault="00C72F64" w:rsidP="00E6029D">
            <w:pPr>
              <w:numPr>
                <w:ilvl w:val="0"/>
                <w:numId w:val="2"/>
              </w:numPr>
              <w:spacing w:line="240" w:lineRule="auto"/>
              <w:rPr>
                <w:rFonts w:eastAsia="Calibri" w:cs="Arial"/>
                <w:szCs w:val="22"/>
              </w:rPr>
            </w:pPr>
            <w:r>
              <w:rPr>
                <w:rFonts w:cs="Arial"/>
                <w:szCs w:val="22"/>
              </w:rPr>
              <w:t>Developing a Contingency Plan</w:t>
            </w:r>
            <w:r w:rsidR="007511D1" w:rsidRPr="00335839">
              <w:rPr>
                <w:rFonts w:cs="Arial"/>
                <w:szCs w:val="22"/>
              </w:rPr>
              <w:t xml:space="preserve"> </w:t>
            </w:r>
          </w:p>
        </w:tc>
        <w:tc>
          <w:tcPr>
            <w:tcW w:w="1175" w:type="pct"/>
            <w:tcBorders>
              <w:top w:val="single" w:sz="4" w:space="0" w:color="auto"/>
              <w:left w:val="nil"/>
              <w:bottom w:val="single" w:sz="4" w:space="0" w:color="auto"/>
              <w:right w:val="nil"/>
            </w:tcBorders>
            <w:tcMar>
              <w:left w:w="57" w:type="dxa"/>
              <w:right w:w="57" w:type="dxa"/>
            </w:tcMar>
          </w:tcPr>
          <w:p w:rsidR="007511D1" w:rsidRPr="006A2BE5" w:rsidRDefault="00C72F64" w:rsidP="00C72F64">
            <w:pPr>
              <w:rPr>
                <w:rFonts w:eastAsia="Calibri" w:cs="Arial"/>
                <w:szCs w:val="22"/>
              </w:rPr>
            </w:pPr>
            <w:r>
              <w:rPr>
                <w:rFonts w:eastAsia="Calibri" w:cs="Arial"/>
                <w:szCs w:val="22"/>
              </w:rPr>
              <w:t>2 hours 30 minutes</w:t>
            </w:r>
            <w:r w:rsidR="007511D1" w:rsidRPr="006A2BE5">
              <w:rPr>
                <w:rFonts w:eastAsia="Calibri" w:cs="Arial"/>
                <w:szCs w:val="22"/>
              </w:rPr>
              <w:t xml:space="preserve"> </w:t>
            </w:r>
          </w:p>
        </w:tc>
        <w:tc>
          <w:tcPr>
            <w:tcW w:w="1650" w:type="pct"/>
            <w:tcBorders>
              <w:top w:val="single" w:sz="4" w:space="0" w:color="auto"/>
              <w:left w:val="nil"/>
              <w:bottom w:val="single" w:sz="4" w:space="0" w:color="auto"/>
              <w:right w:val="nil"/>
            </w:tcBorders>
          </w:tcPr>
          <w:p w:rsidR="007511D1" w:rsidRPr="006A2BE5" w:rsidRDefault="00C72F64" w:rsidP="00A5182E">
            <w:pPr>
              <w:rPr>
                <w:rFonts w:eastAsia="Calibri" w:cs="Arial"/>
                <w:szCs w:val="22"/>
              </w:rPr>
            </w:pPr>
            <w:r>
              <w:rPr>
                <w:rFonts w:cs="Arial"/>
                <w:szCs w:val="22"/>
              </w:rPr>
              <w:t>Group work</w:t>
            </w:r>
          </w:p>
        </w:tc>
      </w:tr>
      <w:tr w:rsidR="007511D1" w:rsidRPr="006A2BE5" w:rsidTr="00C72F64">
        <w:tc>
          <w:tcPr>
            <w:tcW w:w="2175" w:type="pct"/>
            <w:tcBorders>
              <w:top w:val="single" w:sz="4" w:space="0" w:color="auto"/>
              <w:left w:val="nil"/>
              <w:bottom w:val="single" w:sz="12"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Total Time</w:t>
            </w:r>
          </w:p>
        </w:tc>
        <w:tc>
          <w:tcPr>
            <w:tcW w:w="1175" w:type="pct"/>
            <w:tcBorders>
              <w:top w:val="single" w:sz="4" w:space="0" w:color="auto"/>
              <w:left w:val="nil"/>
              <w:bottom w:val="single" w:sz="12" w:space="0" w:color="auto"/>
              <w:right w:val="nil"/>
            </w:tcBorders>
            <w:tcMar>
              <w:left w:w="57" w:type="dxa"/>
              <w:right w:w="57" w:type="dxa"/>
            </w:tcMar>
          </w:tcPr>
          <w:p w:rsidR="007511D1" w:rsidRPr="006A2BE5" w:rsidRDefault="00C72F64" w:rsidP="00C72F64">
            <w:pPr>
              <w:rPr>
                <w:rFonts w:eastAsia="Calibri" w:cs="Arial"/>
                <w:b/>
                <w:bCs/>
                <w:szCs w:val="22"/>
              </w:rPr>
            </w:pPr>
            <w:r>
              <w:rPr>
                <w:rFonts w:eastAsia="Calibri" w:cs="Arial"/>
                <w:b/>
                <w:bCs/>
                <w:szCs w:val="22"/>
              </w:rPr>
              <w:t>4 hours 4</w:t>
            </w:r>
            <w:r w:rsidR="00A5182E">
              <w:rPr>
                <w:rFonts w:eastAsia="Calibri" w:cs="Arial"/>
                <w:b/>
                <w:bCs/>
                <w:szCs w:val="22"/>
              </w:rPr>
              <w:t>5</w:t>
            </w:r>
            <w:r w:rsidR="007511D1" w:rsidRPr="006A2BE5">
              <w:rPr>
                <w:rFonts w:eastAsia="Calibri" w:cs="Arial"/>
                <w:b/>
                <w:bCs/>
                <w:szCs w:val="22"/>
              </w:rPr>
              <w:t xml:space="preserve"> minutes</w:t>
            </w:r>
          </w:p>
        </w:tc>
        <w:tc>
          <w:tcPr>
            <w:tcW w:w="1650" w:type="pct"/>
            <w:tcBorders>
              <w:top w:val="single" w:sz="4" w:space="0" w:color="auto"/>
              <w:left w:val="nil"/>
              <w:bottom w:val="single" w:sz="12" w:space="0" w:color="auto"/>
              <w:right w:val="nil"/>
            </w:tcBorders>
          </w:tcPr>
          <w:p w:rsidR="007511D1" w:rsidRPr="006A2BE5" w:rsidRDefault="007511D1" w:rsidP="000F095B">
            <w:pPr>
              <w:jc w:val="both"/>
              <w:rPr>
                <w:rFonts w:eastAsia="Calibri" w:cs="Arial"/>
                <w:b/>
                <w:szCs w:val="22"/>
              </w:rPr>
            </w:pPr>
          </w:p>
        </w:tc>
      </w:tr>
    </w:tbl>
    <w:p w:rsidR="003031CD" w:rsidRDefault="003031CD" w:rsidP="003E6BE6">
      <w:pPr>
        <w:pStyle w:val="FreeForm"/>
        <w:spacing w:before="120"/>
        <w:rPr>
          <w:rFonts w:ascii="Arial" w:hAnsi="Arial"/>
          <w:b/>
          <w:i/>
          <w:sz w:val="22"/>
        </w:rPr>
      </w:pPr>
    </w:p>
    <w:p w:rsidR="003031CD" w:rsidRDefault="003031CD">
      <w:pPr>
        <w:spacing w:after="200"/>
        <w:rPr>
          <w:rFonts w:ascii="Arial" w:eastAsia="ヒラギノ角ゴ Pro W3" w:hAnsi="Arial"/>
          <w:b/>
          <w:i/>
          <w:color w:val="000000"/>
          <w:sz w:val="22"/>
          <w:szCs w:val="20"/>
        </w:rPr>
      </w:pPr>
      <w:r>
        <w:rPr>
          <w:rFonts w:ascii="Arial" w:hAnsi="Arial"/>
          <w:b/>
          <w:i/>
          <w:sz w:val="22"/>
        </w:rPr>
        <w:br w:type="page"/>
      </w:r>
    </w:p>
    <w:p w:rsidR="003E6BE6" w:rsidRPr="00582BAE" w:rsidRDefault="003E6BE6" w:rsidP="003E6BE6">
      <w:pPr>
        <w:pStyle w:val="FreeForm"/>
        <w:spacing w:before="120"/>
        <w:rPr>
          <w:rFonts w:ascii="Arial" w:hAnsi="Arial"/>
          <w:sz w:val="22"/>
        </w:rPr>
      </w:pPr>
      <w:r w:rsidRPr="003031CD">
        <w:rPr>
          <w:rFonts w:ascii="Arial" w:hAnsi="Arial"/>
          <w:b/>
          <w:i/>
          <w:sz w:val="22"/>
        </w:rPr>
        <w:lastRenderedPageBreak/>
        <w:t>Note to Facilitator:</w:t>
      </w:r>
      <w:r w:rsidRPr="003031CD">
        <w:rPr>
          <w:rFonts w:ascii="Arial" w:hAnsi="Arial"/>
          <w:i/>
          <w:sz w:val="22"/>
        </w:rPr>
        <w:t xml:space="preserve"> The first part of this module, which provides and introduction to Contingency planning provides an overview of the process and so can be relevant for all possible trainees (i.e. implementing agencies, UN, Ministry of Education, donors, students).  The subsequent exercises should be conducted at the country or local level for key education stakeholders (i.e. Education Cluster, Ministry of Education). If the training is a regional training, it is recommended to only review the first part of the module and let participants know that the rest of the module would be most useful if conducted in their respective countries</w:t>
      </w:r>
      <w:r w:rsidRPr="00582BAE">
        <w:rPr>
          <w:rFonts w:ascii="Arial" w:hAnsi="Arial"/>
          <w:sz w:val="22"/>
        </w:rPr>
        <w:t>.</w:t>
      </w:r>
      <w:r>
        <w:rPr>
          <w:rFonts w:ascii="Arial" w:hAnsi="Arial"/>
          <w:sz w:val="22"/>
        </w:rPr>
        <w:t xml:space="preserve">  </w:t>
      </w:r>
    </w:p>
    <w:p w:rsidR="007511D1" w:rsidRPr="006F79E3" w:rsidRDefault="00232549" w:rsidP="007511D1">
      <w:pPr>
        <w:spacing w:before="240" w:after="120"/>
        <w:rPr>
          <w:rFonts w:ascii="Arial" w:hAnsi="Arial" w:cs="Arial"/>
          <w:b/>
          <w:sz w:val="22"/>
          <w:szCs w:val="22"/>
        </w:rPr>
      </w:pPr>
      <w:r>
        <w:rPr>
          <w:rFonts w:ascii="Arial" w:hAnsi="Arial" w:cs="Arial"/>
          <w:b/>
          <w:sz w:val="22"/>
          <w:szCs w:val="22"/>
        </w:rPr>
        <w:t>P</w:t>
      </w:r>
      <w:r w:rsidR="007511D1" w:rsidRPr="006F79E3">
        <w:rPr>
          <w:rFonts w:ascii="Arial" w:hAnsi="Arial" w:cs="Arial"/>
          <w:b/>
          <w:sz w:val="22"/>
          <w:szCs w:val="22"/>
        </w:rPr>
        <w:t>reparation, Resources and Support Material</w:t>
      </w:r>
      <w:r w:rsidR="000F095B">
        <w:rPr>
          <w:rFonts w:ascii="Arial" w:hAnsi="Arial" w:cs="Arial"/>
          <w:b/>
          <w:sz w:val="22"/>
          <w:szCs w:val="22"/>
        </w:rPr>
        <w:t>s</w:t>
      </w: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r w:rsidRPr="008D301B">
        <w:rPr>
          <w:rFonts w:ascii="Arial" w:hAnsi="Arial" w:cs="Arial"/>
          <w:b/>
          <w:i/>
          <w:sz w:val="22"/>
          <w:szCs w:val="22"/>
        </w:rPr>
        <w:t>Resources / Materials needed:</w:t>
      </w:r>
    </w:p>
    <w:p w:rsidR="003E6BE6" w:rsidRPr="0051083C" w:rsidRDefault="003E6BE6" w:rsidP="003E6BE6">
      <w:pPr>
        <w:pStyle w:val="dots"/>
        <w:numPr>
          <w:ilvl w:val="0"/>
          <w:numId w:val="12"/>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51083C">
        <w:rPr>
          <w:rFonts w:ascii="Arial" w:hAnsi="Arial" w:cs="Arial"/>
          <w:sz w:val="20"/>
        </w:rPr>
        <w:t xml:space="preserve">Handout </w:t>
      </w:r>
      <w:r>
        <w:rPr>
          <w:rFonts w:ascii="Arial" w:hAnsi="Arial" w:cs="Arial"/>
          <w:sz w:val="20"/>
        </w:rPr>
        <w:t>9</w:t>
      </w:r>
      <w:r w:rsidRPr="0051083C">
        <w:rPr>
          <w:rFonts w:ascii="Arial" w:hAnsi="Arial" w:cs="Arial"/>
          <w:sz w:val="20"/>
        </w:rPr>
        <w:t xml:space="preserve">.1: </w:t>
      </w:r>
      <w:r>
        <w:rPr>
          <w:rFonts w:ascii="Arial" w:hAnsi="Arial" w:cs="Arial"/>
          <w:sz w:val="20"/>
        </w:rPr>
        <w:t>Contingency Planning Worksheet</w:t>
      </w:r>
      <w:r w:rsidRPr="0051083C">
        <w:rPr>
          <w:rFonts w:ascii="Arial" w:hAnsi="Arial" w:cs="Arial"/>
          <w:sz w:val="20"/>
        </w:rPr>
        <w:t>.</w:t>
      </w:r>
    </w:p>
    <w:p w:rsidR="003E6BE6" w:rsidRDefault="003E6BE6" w:rsidP="0051083C">
      <w:pPr>
        <w:pStyle w:val="dots"/>
        <w:numPr>
          <w:ilvl w:val="0"/>
          <w:numId w:val="12"/>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3E6BE6">
        <w:rPr>
          <w:rFonts w:ascii="Arial" w:hAnsi="Arial" w:cs="Arial"/>
          <w:sz w:val="20"/>
        </w:rPr>
        <w:t>Handout 2.1:  Summary of INEE Minimum Standards</w:t>
      </w:r>
    </w:p>
    <w:p w:rsidR="003E6BE6" w:rsidRDefault="003E6BE6" w:rsidP="0051083C">
      <w:pPr>
        <w:pStyle w:val="dots"/>
        <w:numPr>
          <w:ilvl w:val="0"/>
          <w:numId w:val="12"/>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3E6BE6">
        <w:rPr>
          <w:rFonts w:ascii="Arial" w:hAnsi="Arial" w:cs="Arial"/>
          <w:sz w:val="20"/>
        </w:rPr>
        <w:t>INEE handbook - Minimum Standards for Education: Preparedness, Response and Recovery</w:t>
      </w:r>
    </w:p>
    <w:p w:rsidR="0051083C" w:rsidRPr="00DA2A02" w:rsidRDefault="0051083C" w:rsidP="0051083C">
      <w:pPr>
        <w:pStyle w:val="dots"/>
        <w:numPr>
          <w:ilvl w:val="0"/>
          <w:numId w:val="12"/>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8D301B">
        <w:rPr>
          <w:rFonts w:ascii="Arial" w:hAnsi="Arial" w:cs="Arial"/>
          <w:sz w:val="20"/>
        </w:rPr>
        <w:t>Flipcharts, markers</w:t>
      </w:r>
    </w:p>
    <w:p w:rsidR="0051083C" w:rsidRPr="00DA2A02" w:rsidRDefault="0051083C" w:rsidP="0051083C">
      <w:pPr>
        <w:pStyle w:val="dots"/>
        <w:numPr>
          <w:ilvl w:val="0"/>
          <w:numId w:val="12"/>
        </w:numPr>
        <w:pBdr>
          <w:top w:val="single" w:sz="4" w:space="1" w:color="auto"/>
          <w:left w:val="single" w:sz="4" w:space="1" w:color="auto"/>
          <w:bottom w:val="single" w:sz="4" w:space="1" w:color="auto"/>
          <w:right w:val="single" w:sz="4" w:space="1" w:color="auto"/>
        </w:pBdr>
        <w:spacing w:before="40"/>
        <w:rPr>
          <w:rFonts w:ascii="Arial" w:hAnsi="Arial" w:cs="Arial"/>
          <w:sz w:val="20"/>
        </w:rPr>
      </w:pPr>
      <w:r>
        <w:rPr>
          <w:rFonts w:ascii="Arial" w:hAnsi="Arial" w:cs="Arial"/>
          <w:sz w:val="20"/>
        </w:rPr>
        <w:t xml:space="preserve">Module </w:t>
      </w:r>
      <w:r w:rsidR="003E6BE6">
        <w:rPr>
          <w:rFonts w:ascii="Arial" w:hAnsi="Arial" w:cs="Arial"/>
          <w:sz w:val="20"/>
        </w:rPr>
        <w:t>9</w:t>
      </w:r>
      <w:r>
        <w:rPr>
          <w:rFonts w:ascii="Arial" w:hAnsi="Arial" w:cs="Arial"/>
          <w:sz w:val="20"/>
        </w:rPr>
        <w:t xml:space="preserve"> </w:t>
      </w:r>
      <w:r w:rsidRPr="008D301B">
        <w:rPr>
          <w:rFonts w:ascii="Arial" w:hAnsi="Arial" w:cs="Arial"/>
          <w:sz w:val="20"/>
        </w:rPr>
        <w:t>slide presentation</w:t>
      </w: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Cs/>
          <w:i/>
          <w:sz w:val="22"/>
          <w:szCs w:val="22"/>
        </w:rPr>
      </w:pPr>
      <w:r w:rsidRPr="008D301B">
        <w:rPr>
          <w:rFonts w:ascii="Arial" w:hAnsi="Arial" w:cs="Arial"/>
          <w:b/>
          <w:i/>
          <w:sz w:val="22"/>
          <w:szCs w:val="22"/>
        </w:rPr>
        <w:t xml:space="preserve">Preparation for this session:   </w:t>
      </w:r>
    </w:p>
    <w:p w:rsidR="000F095B" w:rsidRDefault="000F095B" w:rsidP="003E6BE6">
      <w:pPr>
        <w:pStyle w:val="dots"/>
        <w:numPr>
          <w:ilvl w:val="0"/>
          <w:numId w:val="13"/>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Pr>
          <w:rFonts w:ascii="Arial" w:hAnsi="Arial" w:cs="Arial"/>
          <w:sz w:val="20"/>
        </w:rPr>
        <w:t xml:space="preserve">Review Session </w:t>
      </w:r>
      <w:r w:rsidRPr="008D301B">
        <w:rPr>
          <w:rFonts w:ascii="Arial" w:hAnsi="Arial" w:cs="Arial"/>
          <w:sz w:val="20"/>
        </w:rPr>
        <w:t>slide presentation</w:t>
      </w:r>
    </w:p>
    <w:p w:rsidR="003E6BE6" w:rsidRDefault="003E6BE6" w:rsidP="003E6BE6">
      <w:pPr>
        <w:pStyle w:val="dots"/>
        <w:numPr>
          <w:ilvl w:val="0"/>
          <w:numId w:val="13"/>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sidRPr="003E6BE6">
        <w:rPr>
          <w:rFonts w:ascii="Arial" w:hAnsi="Arial" w:cs="Arial"/>
          <w:sz w:val="20"/>
        </w:rPr>
        <w:t>Copies of Handouts 9.1, one per participant</w:t>
      </w:r>
    </w:p>
    <w:p w:rsidR="003E6BE6" w:rsidRDefault="003E6BE6" w:rsidP="003E6BE6">
      <w:pPr>
        <w:pStyle w:val="dots"/>
        <w:numPr>
          <w:ilvl w:val="0"/>
          <w:numId w:val="13"/>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sidRPr="003E6BE6">
        <w:rPr>
          <w:rFonts w:ascii="Arial" w:hAnsi="Arial" w:cs="Arial"/>
          <w:sz w:val="20"/>
        </w:rPr>
        <w:t>Copies of Handouts 2.1, one per participant (if not previously provided to participants)</w:t>
      </w:r>
    </w:p>
    <w:p w:rsidR="00FB6403" w:rsidRPr="0051083C" w:rsidRDefault="003E6BE6" w:rsidP="003E6BE6">
      <w:pPr>
        <w:pStyle w:val="dots"/>
        <w:numPr>
          <w:ilvl w:val="0"/>
          <w:numId w:val="13"/>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sidRPr="003E6BE6">
        <w:rPr>
          <w:rFonts w:ascii="Arial" w:hAnsi="Arial" w:cs="Arial"/>
          <w:sz w:val="20"/>
        </w:rPr>
        <w:t>Prepare flip charts for exercises</w:t>
      </w: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sz w:val="20"/>
        </w:rPr>
      </w:pPr>
    </w:p>
    <w:p w:rsidR="00C43841" w:rsidRPr="008D301B" w:rsidRDefault="0051083C" w:rsidP="00C43841">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r>
        <w:rPr>
          <w:rFonts w:ascii="Arial" w:hAnsi="Arial" w:cs="Arial"/>
          <w:b/>
          <w:i/>
          <w:sz w:val="22"/>
          <w:szCs w:val="22"/>
        </w:rPr>
        <w:t>Additional Resources</w:t>
      </w:r>
      <w:r w:rsidR="00C43841">
        <w:rPr>
          <w:rFonts w:ascii="Arial" w:hAnsi="Arial" w:cs="Arial"/>
          <w:b/>
          <w:i/>
          <w:sz w:val="22"/>
          <w:szCs w:val="22"/>
        </w:rPr>
        <w:t>:</w:t>
      </w:r>
    </w:p>
    <w:p w:rsidR="003E6BE6" w:rsidRPr="003E6BE6" w:rsidRDefault="003031CD" w:rsidP="003E6BE6">
      <w:pPr>
        <w:numPr>
          <w:ilvl w:val="0"/>
          <w:numId w:val="14"/>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Pr>
          <w:rFonts w:ascii="Arial" w:hAnsi="Arial" w:cs="Arial"/>
          <w:bCs/>
          <w:sz w:val="20"/>
        </w:rPr>
        <w:t xml:space="preserve">3.5 </w:t>
      </w:r>
      <w:r w:rsidR="003E6BE6" w:rsidRPr="003E6BE6">
        <w:rPr>
          <w:rFonts w:ascii="Arial" w:hAnsi="Arial" w:cs="Arial"/>
          <w:bCs/>
          <w:sz w:val="20"/>
        </w:rPr>
        <w:t>Inter-Agency Contingency Planning Guidelines for Humanitarian Assistance, November 2007 (Available in English Spanish, French and Arabic)</w:t>
      </w:r>
    </w:p>
    <w:p w:rsidR="003E6BE6" w:rsidRPr="003E6BE6" w:rsidRDefault="00112670" w:rsidP="003E6BE6">
      <w:pPr>
        <w:numPr>
          <w:ilvl w:val="0"/>
          <w:numId w:val="14"/>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Pr>
          <w:rFonts w:ascii="Arial" w:hAnsi="Arial" w:cs="Arial"/>
          <w:bCs/>
          <w:sz w:val="20"/>
        </w:rPr>
        <w:t xml:space="preserve">9.2 </w:t>
      </w:r>
      <w:r w:rsidR="003E6BE6" w:rsidRPr="003E6BE6">
        <w:rPr>
          <w:rFonts w:ascii="Arial" w:hAnsi="Arial" w:cs="Arial"/>
          <w:bCs/>
          <w:sz w:val="20"/>
        </w:rPr>
        <w:t>Nepal Education Cluster Contingency Plan, 2009</w:t>
      </w:r>
    </w:p>
    <w:p w:rsidR="003E6BE6" w:rsidRPr="003E6BE6" w:rsidRDefault="00112670" w:rsidP="003E6BE6">
      <w:pPr>
        <w:numPr>
          <w:ilvl w:val="0"/>
          <w:numId w:val="14"/>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Pr>
          <w:rFonts w:ascii="Arial" w:hAnsi="Arial" w:cs="Arial"/>
          <w:bCs/>
          <w:sz w:val="20"/>
        </w:rPr>
        <w:t xml:space="preserve">9.3 </w:t>
      </w:r>
      <w:r w:rsidR="003E6BE6" w:rsidRPr="003E6BE6">
        <w:rPr>
          <w:rFonts w:ascii="Arial" w:hAnsi="Arial" w:cs="Arial"/>
          <w:bCs/>
          <w:sz w:val="20"/>
        </w:rPr>
        <w:t>Nepal National Contingency planning workshop report, 2009</w:t>
      </w:r>
    </w:p>
    <w:p w:rsidR="003031CD" w:rsidRDefault="00112670" w:rsidP="003031CD">
      <w:pPr>
        <w:numPr>
          <w:ilvl w:val="0"/>
          <w:numId w:val="14"/>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Pr>
          <w:rFonts w:ascii="Arial" w:hAnsi="Arial" w:cs="Arial"/>
          <w:bCs/>
          <w:sz w:val="20"/>
        </w:rPr>
        <w:t xml:space="preserve">9.4 </w:t>
      </w:r>
      <w:r w:rsidR="003E6BE6" w:rsidRPr="003E6BE6">
        <w:rPr>
          <w:rFonts w:ascii="Arial" w:hAnsi="Arial" w:cs="Arial"/>
          <w:bCs/>
          <w:sz w:val="20"/>
        </w:rPr>
        <w:t>Nepal District level Multi-sectoral Contingency planning workshop agenda</w:t>
      </w:r>
      <w:r w:rsidR="003031CD" w:rsidRPr="003031CD">
        <w:rPr>
          <w:rFonts w:ascii="Arial" w:hAnsi="Arial" w:cs="Arial"/>
          <w:bCs/>
          <w:sz w:val="20"/>
        </w:rPr>
        <w:t xml:space="preserve"> </w:t>
      </w:r>
    </w:p>
    <w:p w:rsidR="003031CD" w:rsidRPr="003031CD" w:rsidRDefault="003031CD" w:rsidP="003031CD">
      <w:pPr>
        <w:pBdr>
          <w:top w:val="single" w:sz="4" w:space="1" w:color="auto"/>
          <w:left w:val="single" w:sz="4" w:space="1" w:color="auto"/>
          <w:bottom w:val="single" w:sz="4" w:space="1" w:color="auto"/>
          <w:right w:val="single" w:sz="4" w:space="1" w:color="auto"/>
        </w:pBdr>
        <w:spacing w:before="40" w:line="240" w:lineRule="auto"/>
        <w:rPr>
          <w:rFonts w:ascii="Arial" w:hAnsi="Arial" w:cs="Arial"/>
          <w:b/>
          <w:bCs/>
          <w:sz w:val="20"/>
        </w:rPr>
      </w:pPr>
      <w:r w:rsidRPr="003031CD">
        <w:rPr>
          <w:rFonts w:ascii="Arial" w:hAnsi="Arial" w:cs="Arial"/>
          <w:b/>
          <w:bCs/>
          <w:sz w:val="20"/>
        </w:rPr>
        <w:t>Via the internet</w:t>
      </w:r>
      <w:r>
        <w:rPr>
          <w:rFonts w:ascii="Arial" w:hAnsi="Arial" w:cs="Arial"/>
          <w:b/>
          <w:bCs/>
          <w:sz w:val="20"/>
        </w:rPr>
        <w:t>:</w:t>
      </w:r>
    </w:p>
    <w:p w:rsidR="003031CD" w:rsidRDefault="003031CD" w:rsidP="003031CD">
      <w:pPr>
        <w:numPr>
          <w:ilvl w:val="0"/>
          <w:numId w:val="14"/>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3E6BE6">
        <w:rPr>
          <w:rFonts w:ascii="Arial" w:hAnsi="Arial" w:cs="Arial"/>
          <w:bCs/>
          <w:sz w:val="20"/>
        </w:rPr>
        <w:t>IASC Sub-Working Group on Preparedness and Contingency Planning.  Challenges and Suggestions for Enhancing Inter-Agency Contingency Planning: Report of the 1st Global Consultation of Contingency Planners in Humanitarian Agencies. 2-4 July, 2007</w:t>
      </w:r>
    </w:p>
    <w:p w:rsidR="003031CD" w:rsidRPr="003E6BE6" w:rsidRDefault="003031CD" w:rsidP="003031CD">
      <w:pPr>
        <w:pBdr>
          <w:top w:val="single" w:sz="4" w:space="1" w:color="auto"/>
          <w:left w:val="single" w:sz="4" w:space="1" w:color="auto"/>
          <w:bottom w:val="single" w:sz="4" w:space="1" w:color="auto"/>
          <w:right w:val="single" w:sz="4" w:space="1" w:color="auto"/>
        </w:pBdr>
        <w:spacing w:before="40" w:line="240" w:lineRule="auto"/>
        <w:ind w:firstLine="357"/>
        <w:rPr>
          <w:rFonts w:ascii="Arial" w:hAnsi="Arial" w:cs="Arial"/>
          <w:bCs/>
          <w:sz w:val="20"/>
        </w:rPr>
      </w:pPr>
      <w:r w:rsidRPr="003E6BE6">
        <w:rPr>
          <w:rFonts w:ascii="Arial" w:hAnsi="Arial" w:cs="Arial"/>
          <w:bCs/>
          <w:sz w:val="20"/>
        </w:rPr>
        <w:t>www.reliefweb.int</w:t>
      </w:r>
    </w:p>
    <w:p w:rsidR="00C43841" w:rsidRPr="003031CD" w:rsidRDefault="003031CD" w:rsidP="003E6BE6">
      <w:pPr>
        <w:numPr>
          <w:ilvl w:val="0"/>
          <w:numId w:val="14"/>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proofErr w:type="spellStart"/>
      <w:r w:rsidRPr="003031CD">
        <w:rPr>
          <w:rFonts w:ascii="Arial" w:hAnsi="Arial" w:cs="Arial"/>
          <w:bCs/>
          <w:sz w:val="20"/>
        </w:rPr>
        <w:t>Hoularton</w:t>
      </w:r>
      <w:proofErr w:type="spellEnd"/>
      <w:r w:rsidRPr="003031CD">
        <w:rPr>
          <w:rFonts w:ascii="Arial" w:hAnsi="Arial" w:cs="Arial"/>
          <w:bCs/>
          <w:sz w:val="20"/>
        </w:rPr>
        <w:t>, Richard.  Contingency Planning and Humanitarian Action: A Review of Practice.  HPN Network Paper No. 59, March 2007.  www.odihpn.org</w:t>
      </w:r>
    </w:p>
    <w:p w:rsidR="00C43841" w:rsidRDefault="00C43841" w:rsidP="00C43841">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r w:rsidRPr="008D301B">
        <w:rPr>
          <w:rFonts w:ascii="Arial" w:hAnsi="Arial" w:cs="Arial"/>
          <w:b/>
          <w:i/>
          <w:sz w:val="22"/>
          <w:szCs w:val="22"/>
        </w:rPr>
        <w:t>Toolkit:</w:t>
      </w:r>
    </w:p>
    <w:p w:rsidR="00C43841" w:rsidRPr="00C43841" w:rsidRDefault="00C43841" w:rsidP="0001503B">
      <w:pPr>
        <w:numPr>
          <w:ilvl w:val="0"/>
          <w:numId w:val="14"/>
        </w:numPr>
        <w:pBdr>
          <w:top w:val="single" w:sz="4" w:space="1" w:color="auto"/>
          <w:left w:val="single" w:sz="4" w:space="1" w:color="auto"/>
          <w:bottom w:val="single" w:sz="4" w:space="1" w:color="auto"/>
          <w:right w:val="single" w:sz="4" w:space="1" w:color="auto"/>
        </w:pBdr>
        <w:spacing w:line="240" w:lineRule="auto"/>
        <w:rPr>
          <w:rFonts w:ascii="Arial" w:hAnsi="Arial" w:cs="Arial"/>
          <w:b/>
          <w:bCs/>
          <w:i/>
          <w:sz w:val="20"/>
        </w:rPr>
      </w:pPr>
      <w:r w:rsidRPr="00C43841">
        <w:rPr>
          <w:rFonts w:ascii="Arial" w:hAnsi="Arial" w:cs="Arial"/>
          <w:bCs/>
          <w:i/>
          <w:sz w:val="20"/>
        </w:rPr>
        <w:t>For local adaptation</w:t>
      </w:r>
    </w:p>
    <w:p w:rsidR="000F095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sz w:val="22"/>
          <w:szCs w:val="22"/>
        </w:rPr>
      </w:pPr>
    </w:p>
    <w:p w:rsidR="000F095B" w:rsidRPr="000F095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r w:rsidRPr="000F095B">
        <w:rPr>
          <w:rFonts w:ascii="Arial" w:hAnsi="Arial" w:cs="Arial"/>
          <w:b/>
          <w:i/>
          <w:sz w:val="22"/>
          <w:szCs w:val="22"/>
        </w:rPr>
        <w:t>Supplementary Material</w:t>
      </w:r>
      <w:r>
        <w:rPr>
          <w:rFonts w:ascii="Arial" w:hAnsi="Arial" w:cs="Arial"/>
          <w:b/>
          <w:i/>
          <w:sz w:val="22"/>
          <w:szCs w:val="22"/>
        </w:rPr>
        <w:t>:</w:t>
      </w:r>
    </w:p>
    <w:p w:rsidR="007511D1" w:rsidRPr="003E6BE6" w:rsidRDefault="0051083C" w:rsidP="000F095B">
      <w:pPr>
        <w:numPr>
          <w:ilvl w:val="0"/>
          <w:numId w:val="14"/>
        </w:numPr>
        <w:pBdr>
          <w:top w:val="single" w:sz="4" w:space="1" w:color="auto"/>
          <w:left w:val="single" w:sz="4" w:space="1" w:color="auto"/>
          <w:bottom w:val="single" w:sz="4" w:space="1" w:color="auto"/>
          <w:right w:val="single" w:sz="4" w:space="1" w:color="auto"/>
        </w:pBdr>
        <w:spacing w:before="80" w:after="120" w:line="240" w:lineRule="auto"/>
        <w:rPr>
          <w:rFonts w:ascii="Arial" w:hAnsi="Arial" w:cs="Arial"/>
          <w:b/>
          <w:sz w:val="22"/>
          <w:szCs w:val="22"/>
        </w:rPr>
      </w:pPr>
      <w:r w:rsidRPr="003E6BE6">
        <w:rPr>
          <w:rFonts w:ascii="Arial" w:hAnsi="Arial" w:cs="Arial"/>
          <w:b/>
          <w:bCs/>
          <w:sz w:val="20"/>
        </w:rPr>
        <w:t>None</w:t>
      </w:r>
    </w:p>
    <w:p w:rsidR="00335839" w:rsidRDefault="00335839">
      <w:pPr>
        <w:spacing w:after="200"/>
      </w:pPr>
      <w:r>
        <w:br w:type="page"/>
      </w:r>
    </w:p>
    <w:p w:rsidR="002C3293" w:rsidRPr="00EB6E7C" w:rsidRDefault="002C3293" w:rsidP="002C7330">
      <w:pPr>
        <w:pBdr>
          <w:top w:val="single" w:sz="4" w:space="1" w:color="auto"/>
          <w:bottom w:val="single" w:sz="4" w:space="1" w:color="auto"/>
        </w:pBdr>
        <w:rPr>
          <w:rFonts w:ascii="Arial" w:hAnsi="Arial" w:cs="Arial"/>
          <w:b/>
          <w:sz w:val="28"/>
          <w:szCs w:val="28"/>
        </w:rPr>
      </w:pPr>
      <w:r w:rsidRPr="00EB6E7C">
        <w:rPr>
          <w:rFonts w:ascii="Arial" w:hAnsi="Arial" w:cs="Arial"/>
          <w:b/>
          <w:sz w:val="28"/>
          <w:szCs w:val="28"/>
        </w:rPr>
        <w:lastRenderedPageBreak/>
        <w:t xml:space="preserve">1.  </w:t>
      </w:r>
      <w:r w:rsidR="005B5625">
        <w:rPr>
          <w:rFonts w:ascii="Arial" w:hAnsi="Arial" w:cs="Arial"/>
          <w:b/>
          <w:sz w:val="28"/>
          <w:szCs w:val="28"/>
        </w:rPr>
        <w:t xml:space="preserve">Introduction to </w:t>
      </w:r>
      <w:r w:rsidR="003E6BE6">
        <w:rPr>
          <w:rFonts w:ascii="Arial" w:hAnsi="Arial" w:cs="Arial"/>
          <w:b/>
          <w:sz w:val="28"/>
          <w:szCs w:val="28"/>
        </w:rPr>
        <w:t>Contingency Planning</w:t>
      </w:r>
    </w:p>
    <w:p w:rsidR="002C7330" w:rsidRDefault="002C7330" w:rsidP="002C7330">
      <w:pPr>
        <w:pBdr>
          <w:top w:val="single" w:sz="4" w:space="1" w:color="auto"/>
          <w:bottom w:val="single" w:sz="4" w:space="1" w:color="auto"/>
        </w:pBdr>
        <w:rPr>
          <w:rFonts w:ascii="Arial" w:hAnsi="Arial" w:cs="Arial"/>
          <w:b/>
          <w:sz w:val="22"/>
          <w:szCs w:val="22"/>
        </w:rPr>
      </w:pPr>
    </w:p>
    <w:p w:rsidR="002C3293" w:rsidRPr="00A44615" w:rsidRDefault="00E86D23" w:rsidP="00C87842">
      <w:pPr>
        <w:spacing w:before="120" w:after="120"/>
        <w:rPr>
          <w:rFonts w:ascii="Arial" w:hAnsi="Arial" w:cs="Arial"/>
          <w:b/>
          <w:sz w:val="22"/>
          <w:szCs w:val="22"/>
        </w:rPr>
      </w:pPr>
      <w:r>
        <w:rPr>
          <w:rFonts w:ascii="Arial" w:hAnsi="Arial" w:cs="Arial"/>
          <w:b/>
          <w:sz w:val="22"/>
          <w:szCs w:val="22"/>
        </w:rPr>
        <w:t>45</w:t>
      </w:r>
      <w:r w:rsidR="002C3293" w:rsidRPr="00EB6E7C">
        <w:rPr>
          <w:rFonts w:ascii="Arial" w:hAnsi="Arial" w:cs="Arial"/>
          <w:b/>
          <w:sz w:val="22"/>
          <w:szCs w:val="22"/>
        </w:rPr>
        <w:t xml:space="preserve"> minutes</w:t>
      </w:r>
    </w:p>
    <w:tbl>
      <w:tblPr>
        <w:tblW w:w="9920" w:type="dxa"/>
        <w:jc w:val="center"/>
        <w:tblInd w:w="88" w:type="dxa"/>
        <w:tblBorders>
          <w:bottom w:val="single" w:sz="4" w:space="0" w:color="auto"/>
        </w:tblBorders>
        <w:tblLook w:val="0000"/>
      </w:tblPr>
      <w:tblGrid>
        <w:gridCol w:w="2900"/>
        <w:gridCol w:w="7020"/>
      </w:tblGrid>
      <w:tr w:rsidR="002C3293" w:rsidRPr="00EB6E7C" w:rsidTr="00B92D7A">
        <w:trPr>
          <w:trHeight w:val="255"/>
          <w:jc w:val="center"/>
        </w:trPr>
        <w:tc>
          <w:tcPr>
            <w:tcW w:w="2900" w:type="dxa"/>
            <w:shd w:val="clear" w:color="auto" w:fill="auto"/>
            <w:noWrap/>
          </w:tcPr>
          <w:p w:rsidR="002C3293" w:rsidRPr="0074495A" w:rsidRDefault="008B0912"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11488" cy="1208617"/>
                  <wp:effectExtent l="19050" t="19050" r="26812" b="10583"/>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611308" cy="1208482"/>
                          </a:xfrm>
                          <a:prstGeom prst="rect">
                            <a:avLst/>
                          </a:prstGeom>
                          <a:noFill/>
                          <a:ln>
                            <a:solidFill>
                              <a:schemeClr val="accent1"/>
                            </a:solidFill>
                          </a:ln>
                        </pic:spPr>
                      </pic:pic>
                    </a:graphicData>
                  </a:graphic>
                </wp:inline>
              </w:drawing>
            </w:r>
          </w:p>
          <w:p w:rsidR="002C3293" w:rsidRPr="0074495A" w:rsidRDefault="002C3293" w:rsidP="00B92D7A">
            <w:pPr>
              <w:rPr>
                <w:rFonts w:ascii="Arial" w:eastAsia="Times New Roman" w:hAnsi="Arial" w:cs="Arial"/>
                <w:sz w:val="16"/>
                <w:szCs w:val="16"/>
              </w:rPr>
            </w:pPr>
          </w:p>
          <w:p w:rsidR="002C3293" w:rsidRPr="0074495A" w:rsidRDefault="008B0912"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18404" cy="1213803"/>
                  <wp:effectExtent l="19050" t="19050" r="19896" b="24447"/>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617221" cy="1212915"/>
                          </a:xfrm>
                          <a:prstGeom prst="rect">
                            <a:avLst/>
                          </a:prstGeom>
                          <a:noFill/>
                          <a:ln>
                            <a:solidFill>
                              <a:schemeClr val="accent1"/>
                            </a:solidFill>
                          </a:ln>
                        </pic:spPr>
                      </pic:pic>
                    </a:graphicData>
                  </a:graphic>
                </wp:inline>
              </w:drawing>
            </w:r>
          </w:p>
          <w:p w:rsidR="002C3293" w:rsidRDefault="002C3293" w:rsidP="00B92D7A">
            <w:pPr>
              <w:rPr>
                <w:rFonts w:ascii="Arial" w:eastAsia="Times New Roman" w:hAnsi="Arial" w:cs="Arial"/>
                <w:sz w:val="16"/>
                <w:szCs w:val="16"/>
              </w:rPr>
            </w:pPr>
          </w:p>
          <w:p w:rsidR="00884521" w:rsidRPr="0074495A" w:rsidRDefault="008B0912"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13747" cy="1210310"/>
                  <wp:effectExtent l="19050" t="19050" r="24553" b="2794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614495" cy="1210871"/>
                          </a:xfrm>
                          <a:prstGeom prst="rect">
                            <a:avLst/>
                          </a:prstGeom>
                          <a:noFill/>
                          <a:ln>
                            <a:solidFill>
                              <a:schemeClr val="accent1"/>
                            </a:solidFill>
                          </a:ln>
                        </pic:spPr>
                      </pic:pic>
                    </a:graphicData>
                  </a:graphic>
                </wp:inline>
              </w:drawing>
            </w:r>
          </w:p>
          <w:p w:rsidR="002C3293" w:rsidRDefault="002C3293" w:rsidP="00B92D7A">
            <w:pPr>
              <w:rPr>
                <w:rFonts w:ascii="Arial" w:eastAsia="Times New Roman" w:hAnsi="Arial" w:cs="Arial"/>
                <w:sz w:val="16"/>
                <w:szCs w:val="16"/>
              </w:rPr>
            </w:pPr>
          </w:p>
          <w:p w:rsidR="008B0912" w:rsidRDefault="008B0912" w:rsidP="00B92D7A">
            <w:pPr>
              <w:rPr>
                <w:rFonts w:ascii="Arial" w:eastAsia="Times New Roman" w:hAnsi="Arial" w:cs="Arial"/>
                <w:sz w:val="16"/>
                <w:szCs w:val="16"/>
              </w:rPr>
            </w:pPr>
          </w:p>
          <w:p w:rsidR="008B0912" w:rsidRDefault="008B0912" w:rsidP="00B92D7A">
            <w:pPr>
              <w:rPr>
                <w:rFonts w:ascii="Arial" w:eastAsia="Times New Roman" w:hAnsi="Arial" w:cs="Arial"/>
                <w:sz w:val="16"/>
                <w:szCs w:val="16"/>
              </w:rPr>
            </w:pPr>
          </w:p>
          <w:p w:rsidR="008B0912" w:rsidRDefault="008B0912" w:rsidP="00B92D7A">
            <w:pPr>
              <w:rPr>
                <w:rFonts w:ascii="Arial" w:eastAsia="Times New Roman" w:hAnsi="Arial" w:cs="Arial"/>
                <w:sz w:val="16"/>
                <w:szCs w:val="16"/>
              </w:rPr>
            </w:pPr>
          </w:p>
          <w:p w:rsidR="008B0912" w:rsidRDefault="008B0912" w:rsidP="00B92D7A">
            <w:pPr>
              <w:rPr>
                <w:rFonts w:ascii="Arial" w:eastAsia="Times New Roman" w:hAnsi="Arial" w:cs="Arial"/>
                <w:sz w:val="16"/>
                <w:szCs w:val="16"/>
              </w:rPr>
            </w:pPr>
          </w:p>
          <w:p w:rsidR="008B0912" w:rsidRDefault="008B0912" w:rsidP="00B92D7A">
            <w:pPr>
              <w:rPr>
                <w:rFonts w:ascii="Arial" w:eastAsia="Times New Roman" w:hAnsi="Arial" w:cs="Arial"/>
                <w:sz w:val="16"/>
                <w:szCs w:val="16"/>
              </w:rPr>
            </w:pPr>
          </w:p>
          <w:p w:rsidR="008B0912" w:rsidRDefault="008B0912" w:rsidP="00B92D7A">
            <w:pPr>
              <w:rPr>
                <w:rFonts w:ascii="Arial" w:eastAsia="Times New Roman" w:hAnsi="Arial" w:cs="Arial"/>
                <w:sz w:val="16"/>
                <w:szCs w:val="16"/>
              </w:rPr>
            </w:pPr>
          </w:p>
          <w:p w:rsidR="008B0912" w:rsidRDefault="008B0912" w:rsidP="00B92D7A">
            <w:pPr>
              <w:rPr>
                <w:rFonts w:ascii="Arial" w:eastAsia="Times New Roman" w:hAnsi="Arial" w:cs="Arial"/>
                <w:sz w:val="16"/>
                <w:szCs w:val="16"/>
              </w:rPr>
            </w:pPr>
          </w:p>
          <w:p w:rsidR="008B0912" w:rsidRPr="0074495A" w:rsidRDefault="008B0912"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13747" cy="1210310"/>
                  <wp:effectExtent l="19050" t="19050" r="24553" b="2794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1614494" cy="1210870"/>
                          </a:xfrm>
                          <a:prstGeom prst="rect">
                            <a:avLst/>
                          </a:prstGeom>
                          <a:noFill/>
                          <a:ln>
                            <a:solidFill>
                              <a:schemeClr val="accent1"/>
                            </a:solidFill>
                          </a:ln>
                        </pic:spPr>
                      </pic:pic>
                    </a:graphicData>
                  </a:graphic>
                </wp:inline>
              </w:drawing>
            </w:r>
          </w:p>
          <w:p w:rsidR="002C3293" w:rsidRDefault="002C3293" w:rsidP="00B92D7A">
            <w:pPr>
              <w:rPr>
                <w:rFonts w:ascii="Arial" w:eastAsia="Times New Roman" w:hAnsi="Arial" w:cs="Arial"/>
                <w:sz w:val="16"/>
                <w:szCs w:val="16"/>
              </w:rPr>
            </w:pPr>
          </w:p>
          <w:p w:rsidR="008B0912" w:rsidRDefault="008B0912" w:rsidP="00B92D7A">
            <w:pPr>
              <w:rPr>
                <w:rFonts w:ascii="Arial" w:eastAsia="Times New Roman" w:hAnsi="Arial" w:cs="Arial"/>
                <w:sz w:val="16"/>
                <w:szCs w:val="16"/>
              </w:rPr>
            </w:pPr>
          </w:p>
          <w:p w:rsidR="00884521" w:rsidRPr="0074495A" w:rsidRDefault="008B0912"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15017" cy="1211262"/>
                  <wp:effectExtent l="19050" t="19050" r="23283" b="26988"/>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617723" cy="1213292"/>
                          </a:xfrm>
                          <a:prstGeom prst="rect">
                            <a:avLst/>
                          </a:prstGeom>
                          <a:noFill/>
                          <a:ln>
                            <a:solidFill>
                              <a:schemeClr val="accent1"/>
                            </a:solidFill>
                          </a:ln>
                        </pic:spPr>
                      </pic:pic>
                    </a:graphicData>
                  </a:graphic>
                </wp:inline>
              </w:drawing>
            </w:r>
          </w:p>
          <w:p w:rsidR="002C3293" w:rsidRPr="0074495A" w:rsidRDefault="002C3293" w:rsidP="00B92D7A">
            <w:pPr>
              <w:rPr>
                <w:rFonts w:ascii="Arial" w:eastAsia="Times New Roman" w:hAnsi="Arial" w:cs="Arial"/>
                <w:sz w:val="16"/>
                <w:szCs w:val="16"/>
              </w:rPr>
            </w:pPr>
          </w:p>
          <w:p w:rsidR="002C3293" w:rsidRPr="0074495A" w:rsidRDefault="008B0912" w:rsidP="00B92D7A">
            <w:pPr>
              <w:rPr>
                <w:sz w:val="16"/>
                <w:szCs w:val="16"/>
              </w:rPr>
            </w:pPr>
            <w:r>
              <w:rPr>
                <w:noProof/>
                <w:sz w:val="16"/>
                <w:szCs w:val="16"/>
                <w:lang w:eastAsia="en-GB"/>
              </w:rPr>
              <w:drawing>
                <wp:inline distT="0" distB="0" distL="0" distR="0">
                  <wp:extent cx="1569156" cy="1176867"/>
                  <wp:effectExtent l="19050" t="19050" r="11994" b="23283"/>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1569883" cy="1177412"/>
                          </a:xfrm>
                          <a:prstGeom prst="rect">
                            <a:avLst/>
                          </a:prstGeom>
                          <a:noFill/>
                          <a:ln>
                            <a:solidFill>
                              <a:schemeClr val="accent1"/>
                            </a:solidFill>
                          </a:ln>
                        </pic:spPr>
                      </pic:pic>
                    </a:graphicData>
                  </a:graphic>
                </wp:inline>
              </w:drawing>
            </w:r>
          </w:p>
          <w:p w:rsidR="002C3293" w:rsidRDefault="002C3293" w:rsidP="00B92D7A">
            <w:pPr>
              <w:rPr>
                <w:sz w:val="16"/>
                <w:szCs w:val="16"/>
              </w:rPr>
            </w:pPr>
          </w:p>
          <w:p w:rsidR="001C191D" w:rsidRDefault="001C191D" w:rsidP="00B92D7A">
            <w:pPr>
              <w:rPr>
                <w:sz w:val="16"/>
                <w:szCs w:val="16"/>
              </w:rPr>
            </w:pPr>
          </w:p>
          <w:p w:rsidR="001C191D" w:rsidRDefault="001C191D" w:rsidP="00B92D7A">
            <w:pPr>
              <w:rPr>
                <w:sz w:val="16"/>
                <w:szCs w:val="16"/>
              </w:rPr>
            </w:pPr>
          </w:p>
          <w:p w:rsidR="001C191D" w:rsidRDefault="001C191D" w:rsidP="00B92D7A">
            <w:pPr>
              <w:rPr>
                <w:sz w:val="16"/>
                <w:szCs w:val="16"/>
              </w:rPr>
            </w:pPr>
          </w:p>
          <w:p w:rsidR="001C191D" w:rsidRDefault="001C191D" w:rsidP="00B92D7A">
            <w:pPr>
              <w:rPr>
                <w:sz w:val="16"/>
                <w:szCs w:val="16"/>
              </w:rPr>
            </w:pPr>
          </w:p>
          <w:p w:rsidR="001C191D" w:rsidRDefault="001C191D" w:rsidP="00B92D7A">
            <w:pPr>
              <w:rPr>
                <w:sz w:val="16"/>
                <w:szCs w:val="16"/>
              </w:rPr>
            </w:pPr>
          </w:p>
          <w:p w:rsidR="001C191D" w:rsidRDefault="001C191D" w:rsidP="00B92D7A">
            <w:pPr>
              <w:rPr>
                <w:sz w:val="16"/>
                <w:szCs w:val="16"/>
              </w:rPr>
            </w:pPr>
          </w:p>
          <w:p w:rsidR="001C191D" w:rsidRDefault="001C191D" w:rsidP="00B92D7A">
            <w:pPr>
              <w:rPr>
                <w:sz w:val="16"/>
                <w:szCs w:val="16"/>
              </w:rPr>
            </w:pPr>
          </w:p>
          <w:p w:rsidR="001C191D" w:rsidRDefault="001C191D" w:rsidP="00B92D7A">
            <w:pPr>
              <w:rPr>
                <w:sz w:val="16"/>
                <w:szCs w:val="16"/>
              </w:rPr>
            </w:pPr>
          </w:p>
          <w:p w:rsidR="001C191D" w:rsidRDefault="001C191D" w:rsidP="00B92D7A">
            <w:pPr>
              <w:rPr>
                <w:sz w:val="16"/>
                <w:szCs w:val="16"/>
              </w:rPr>
            </w:pPr>
          </w:p>
          <w:p w:rsidR="00C960FE" w:rsidRDefault="00C960FE" w:rsidP="00B92D7A">
            <w:pPr>
              <w:rPr>
                <w:sz w:val="16"/>
                <w:szCs w:val="16"/>
              </w:rPr>
            </w:pPr>
          </w:p>
          <w:p w:rsidR="00C960FE" w:rsidRDefault="00C960FE" w:rsidP="00B92D7A">
            <w:pPr>
              <w:rPr>
                <w:sz w:val="16"/>
                <w:szCs w:val="16"/>
              </w:rPr>
            </w:pPr>
          </w:p>
          <w:p w:rsidR="001C191D" w:rsidRDefault="001C191D" w:rsidP="00B92D7A">
            <w:pPr>
              <w:rPr>
                <w:sz w:val="16"/>
                <w:szCs w:val="16"/>
              </w:rPr>
            </w:pPr>
          </w:p>
          <w:p w:rsidR="008B0912" w:rsidRPr="0074495A" w:rsidRDefault="008B0912" w:rsidP="00B92D7A">
            <w:pPr>
              <w:rPr>
                <w:sz w:val="16"/>
                <w:szCs w:val="16"/>
              </w:rPr>
            </w:pPr>
            <w:r>
              <w:rPr>
                <w:noProof/>
                <w:sz w:val="16"/>
                <w:szCs w:val="16"/>
                <w:lang w:eastAsia="en-GB"/>
              </w:rPr>
              <w:drawing>
                <wp:inline distT="0" distB="0" distL="0" distR="0">
                  <wp:extent cx="1569720" cy="1177290"/>
                  <wp:effectExtent l="19050" t="19050" r="11430" b="22860"/>
                  <wp:docPr id="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1572863" cy="1179647"/>
                          </a:xfrm>
                          <a:prstGeom prst="rect">
                            <a:avLst/>
                          </a:prstGeom>
                          <a:noFill/>
                          <a:ln>
                            <a:solidFill>
                              <a:schemeClr val="accent1"/>
                            </a:solidFill>
                          </a:ln>
                        </pic:spPr>
                      </pic:pic>
                    </a:graphicData>
                  </a:graphic>
                </wp:inline>
              </w:drawing>
            </w:r>
          </w:p>
          <w:p w:rsidR="002C3293" w:rsidRPr="0074495A" w:rsidRDefault="002C3293" w:rsidP="00B92D7A">
            <w:pPr>
              <w:rPr>
                <w:sz w:val="16"/>
                <w:szCs w:val="16"/>
              </w:rPr>
            </w:pPr>
          </w:p>
          <w:p w:rsidR="002C3293" w:rsidRPr="0074495A" w:rsidRDefault="002C3293" w:rsidP="00B92D7A">
            <w:pPr>
              <w:rPr>
                <w:sz w:val="16"/>
                <w:szCs w:val="16"/>
              </w:rPr>
            </w:pPr>
          </w:p>
          <w:p w:rsidR="002C3293" w:rsidRPr="0074495A" w:rsidRDefault="002C3293" w:rsidP="00B92D7A">
            <w:pPr>
              <w:rPr>
                <w:rFonts w:ascii="Arial" w:eastAsia="Times New Roman" w:hAnsi="Arial" w:cs="Arial"/>
                <w:sz w:val="16"/>
                <w:szCs w:val="16"/>
              </w:rPr>
            </w:pPr>
          </w:p>
        </w:tc>
        <w:tc>
          <w:tcPr>
            <w:tcW w:w="7020" w:type="dxa"/>
            <w:shd w:val="clear" w:color="auto" w:fill="auto"/>
            <w:noWrap/>
          </w:tcPr>
          <w:p w:rsidR="002C3293" w:rsidRPr="008B0912" w:rsidRDefault="005B5625" w:rsidP="0074495A">
            <w:pPr>
              <w:numPr>
                <w:ilvl w:val="0"/>
                <w:numId w:val="4"/>
              </w:numPr>
              <w:spacing w:line="240" w:lineRule="auto"/>
              <w:rPr>
                <w:rFonts w:ascii="Arial" w:hAnsi="Arial" w:cs="Arial"/>
                <w:sz w:val="20"/>
              </w:rPr>
            </w:pPr>
            <w:r w:rsidRPr="008B0912">
              <w:rPr>
                <w:rFonts w:ascii="Arial" w:hAnsi="Arial" w:cs="Arial"/>
                <w:sz w:val="20"/>
              </w:rPr>
              <w:lastRenderedPageBreak/>
              <w:t>Int</w:t>
            </w:r>
            <w:r w:rsidR="008B0912" w:rsidRPr="008B0912">
              <w:rPr>
                <w:rFonts w:ascii="Arial" w:hAnsi="Arial" w:cs="Arial"/>
                <w:sz w:val="20"/>
              </w:rPr>
              <w:t>roduce the session by running through the sessions objectives</w:t>
            </w:r>
            <w:r w:rsidR="00770233" w:rsidRPr="008B0912">
              <w:rPr>
                <w:rFonts w:ascii="Arial" w:hAnsi="Arial" w:cs="Arial"/>
                <w:sz w:val="20"/>
              </w:rPr>
              <w:t>.</w:t>
            </w:r>
          </w:p>
          <w:p w:rsidR="000F095B" w:rsidRPr="008B0912" w:rsidRDefault="000F095B" w:rsidP="00114079">
            <w:pPr>
              <w:spacing w:before="60" w:line="240" w:lineRule="auto"/>
              <w:ind w:left="357"/>
              <w:rPr>
                <w:rFonts w:ascii="Arial" w:hAnsi="Arial" w:cs="Arial"/>
                <w:sz w:val="20"/>
              </w:rPr>
            </w:pPr>
          </w:p>
          <w:p w:rsidR="008B0912" w:rsidRPr="008B0912" w:rsidRDefault="008B0912" w:rsidP="008B0912">
            <w:pPr>
              <w:numPr>
                <w:ilvl w:val="0"/>
                <w:numId w:val="4"/>
              </w:numPr>
              <w:spacing w:line="240" w:lineRule="auto"/>
              <w:rPr>
                <w:rFonts w:ascii="Arial" w:hAnsi="Arial"/>
                <w:sz w:val="20"/>
              </w:rPr>
            </w:pPr>
            <w:r w:rsidRPr="008B0912">
              <w:rPr>
                <w:rFonts w:ascii="Arial" w:hAnsi="Arial"/>
                <w:sz w:val="20"/>
              </w:rPr>
              <w:t xml:space="preserve">Ask </w:t>
            </w:r>
            <w:r w:rsidRPr="008B0912">
              <w:rPr>
                <w:rFonts w:ascii="Arial" w:hAnsi="Arial" w:cs="Arial"/>
                <w:sz w:val="20"/>
              </w:rPr>
              <w:t>participants</w:t>
            </w:r>
            <w:r w:rsidRPr="008B0912">
              <w:rPr>
                <w:rFonts w:ascii="Arial" w:hAnsi="Arial"/>
                <w:sz w:val="20"/>
              </w:rPr>
              <w:t xml:space="preserve"> if any of them have participated in contingency planning.  If so ask them to explain: </w:t>
            </w:r>
            <w:r w:rsidRPr="008B0912">
              <w:rPr>
                <w:rFonts w:ascii="Arial" w:hAnsi="Arial"/>
                <w:b/>
                <w:sz w:val="20"/>
              </w:rPr>
              <w:t>“</w:t>
            </w:r>
            <w:r w:rsidRPr="008B0912">
              <w:rPr>
                <w:rFonts w:ascii="Arial" w:hAnsi="Arial"/>
                <w:b/>
                <w:i/>
                <w:sz w:val="20"/>
              </w:rPr>
              <w:t>What is contingency planning</w:t>
            </w:r>
            <w:r w:rsidRPr="008B0912">
              <w:rPr>
                <w:rFonts w:ascii="Arial" w:hAnsi="Arial"/>
                <w:i/>
                <w:sz w:val="20"/>
              </w:rPr>
              <w:t>?</w:t>
            </w:r>
            <w:r w:rsidRPr="008B0912">
              <w:rPr>
                <w:rFonts w:ascii="Arial" w:hAnsi="Arial"/>
                <w:b/>
                <w:sz w:val="20"/>
              </w:rPr>
              <w:t>”</w:t>
            </w:r>
          </w:p>
          <w:p w:rsidR="008B0912" w:rsidRPr="008B0912" w:rsidRDefault="008B0912" w:rsidP="008B0912">
            <w:pPr>
              <w:pStyle w:val="List"/>
              <w:tabs>
                <w:tab w:val="left" w:pos="360"/>
              </w:tabs>
              <w:ind w:left="234" w:firstLine="0"/>
              <w:rPr>
                <w:rFonts w:ascii="Arial" w:hAnsi="Arial"/>
                <w:sz w:val="20"/>
                <w:lang w:val="en-GB"/>
              </w:rPr>
            </w:pPr>
          </w:p>
          <w:p w:rsidR="008B0912" w:rsidRPr="008B0912" w:rsidRDefault="008B0912" w:rsidP="008B0912">
            <w:pPr>
              <w:numPr>
                <w:ilvl w:val="0"/>
                <w:numId w:val="4"/>
              </w:numPr>
              <w:spacing w:line="240" w:lineRule="auto"/>
              <w:rPr>
                <w:rFonts w:ascii="Arial" w:hAnsi="Arial"/>
                <w:sz w:val="20"/>
              </w:rPr>
            </w:pPr>
            <w:r w:rsidRPr="008B0912">
              <w:rPr>
                <w:rFonts w:ascii="Arial" w:hAnsi="Arial"/>
                <w:b/>
                <w:sz w:val="20"/>
              </w:rPr>
              <w:t>Contingency Planning:</w:t>
            </w:r>
            <w:r w:rsidRPr="008B0912">
              <w:rPr>
                <w:rFonts w:ascii="Arial" w:hAnsi="Arial"/>
                <w:sz w:val="20"/>
              </w:rPr>
              <w:t xml:space="preserve"> an on-going process led by key stakeholders to reflect upon and prepare for various emergency scenarios.  </w:t>
            </w:r>
            <w:bookmarkStart w:id="1" w:name="OLE_LINK1"/>
            <w:r w:rsidRPr="008B0912">
              <w:rPr>
                <w:rFonts w:ascii="Arial" w:hAnsi="Arial"/>
                <w:sz w:val="20"/>
              </w:rPr>
              <w:t xml:space="preserve">A Contingency plan is often led by technical clusters and should include the active participation and leadership of the appropriate government ministry.  One of the key outputs of the contingency planning process is the development of a contingency planning document, which should be reviewed and updated regularly, at least annually.  </w:t>
            </w:r>
          </w:p>
          <w:p w:rsidR="008B0912" w:rsidRPr="008B0912" w:rsidRDefault="008B0912" w:rsidP="008B0912">
            <w:pPr>
              <w:spacing w:before="60" w:line="240" w:lineRule="auto"/>
              <w:ind w:left="357"/>
              <w:rPr>
                <w:rFonts w:ascii="Arial" w:hAnsi="Arial"/>
                <w:sz w:val="20"/>
              </w:rPr>
            </w:pPr>
            <w:r w:rsidRPr="008B0912">
              <w:rPr>
                <w:rFonts w:ascii="Arial" w:hAnsi="Arial"/>
                <w:sz w:val="20"/>
                <w:lang w:bidi="en-US"/>
              </w:rPr>
              <w:t xml:space="preserve">The plan itself serves as a record of agreements reached during the contingency planning process, and can be used as a basis for managing follow-up actions and communicating results to others. </w:t>
            </w:r>
          </w:p>
          <w:p w:rsidR="008B0912" w:rsidRPr="008B0912" w:rsidRDefault="008B0912" w:rsidP="008B0912">
            <w:pPr>
              <w:spacing w:before="60" w:line="240" w:lineRule="auto"/>
              <w:ind w:left="357"/>
              <w:rPr>
                <w:rFonts w:ascii="Arial" w:hAnsi="Arial"/>
                <w:sz w:val="20"/>
              </w:rPr>
            </w:pPr>
            <w:r w:rsidRPr="008B0912">
              <w:rPr>
                <w:rFonts w:ascii="Arial" w:hAnsi="Arial"/>
                <w:sz w:val="20"/>
              </w:rPr>
              <w:t>For the education</w:t>
            </w:r>
            <w:r w:rsidR="00564977">
              <w:rPr>
                <w:rFonts w:ascii="Arial" w:hAnsi="Arial"/>
                <w:sz w:val="20"/>
              </w:rPr>
              <w:t xml:space="preserve"> sector, the Education Cluster (</w:t>
            </w:r>
            <w:r w:rsidRPr="008B0912">
              <w:rPr>
                <w:rFonts w:ascii="Arial" w:hAnsi="Arial"/>
                <w:sz w:val="20"/>
              </w:rPr>
              <w:t>inclu</w:t>
            </w:r>
            <w:r w:rsidR="00564977">
              <w:rPr>
                <w:rFonts w:ascii="Arial" w:hAnsi="Arial"/>
                <w:sz w:val="20"/>
              </w:rPr>
              <w:t xml:space="preserve">ding the Ministry of Education) usually </w:t>
            </w:r>
            <w:proofErr w:type="gramStart"/>
            <w:r w:rsidRPr="008B0912">
              <w:rPr>
                <w:rFonts w:ascii="Arial" w:hAnsi="Arial"/>
                <w:sz w:val="20"/>
              </w:rPr>
              <w:t>le</w:t>
            </w:r>
            <w:r w:rsidR="00564977">
              <w:rPr>
                <w:rFonts w:ascii="Arial" w:hAnsi="Arial"/>
                <w:sz w:val="20"/>
              </w:rPr>
              <w:t>a</w:t>
            </w:r>
            <w:r w:rsidRPr="008B0912">
              <w:rPr>
                <w:rFonts w:ascii="Arial" w:hAnsi="Arial"/>
                <w:sz w:val="20"/>
              </w:rPr>
              <w:t>d</w:t>
            </w:r>
            <w:proofErr w:type="gramEnd"/>
            <w:r w:rsidRPr="008B0912">
              <w:rPr>
                <w:rFonts w:ascii="Arial" w:hAnsi="Arial"/>
                <w:sz w:val="20"/>
              </w:rPr>
              <w:t xml:space="preserve"> this process.</w:t>
            </w:r>
          </w:p>
          <w:bookmarkEnd w:id="1"/>
          <w:p w:rsidR="008B0912" w:rsidRPr="00C960FE" w:rsidRDefault="008B0912" w:rsidP="008B0912">
            <w:pPr>
              <w:pStyle w:val="List"/>
              <w:ind w:left="234" w:firstLine="0"/>
              <w:rPr>
                <w:rFonts w:ascii="Arial" w:hAnsi="Arial"/>
                <w:sz w:val="16"/>
                <w:szCs w:val="16"/>
                <w:lang w:val="en-GB"/>
              </w:rPr>
            </w:pPr>
          </w:p>
          <w:p w:rsidR="008B0912" w:rsidRPr="008B0912" w:rsidRDefault="008B0912" w:rsidP="008B0912">
            <w:pPr>
              <w:numPr>
                <w:ilvl w:val="0"/>
                <w:numId w:val="4"/>
              </w:numPr>
              <w:spacing w:line="240" w:lineRule="auto"/>
              <w:rPr>
                <w:rFonts w:ascii="Arial" w:hAnsi="Arial"/>
                <w:sz w:val="20"/>
              </w:rPr>
            </w:pPr>
            <w:r w:rsidRPr="008B0912">
              <w:rPr>
                <w:rFonts w:ascii="Arial" w:hAnsi="Arial"/>
                <w:sz w:val="20"/>
              </w:rPr>
              <w:t>Ask participants “</w:t>
            </w:r>
            <w:r w:rsidRPr="008B0912">
              <w:rPr>
                <w:rFonts w:ascii="Arial" w:hAnsi="Arial"/>
                <w:b/>
                <w:i/>
                <w:sz w:val="20"/>
              </w:rPr>
              <w:t>Why should we do contingency planning</w:t>
            </w:r>
            <w:r w:rsidRPr="008B0912">
              <w:rPr>
                <w:rFonts w:ascii="Arial" w:hAnsi="Arial"/>
                <w:i/>
                <w:sz w:val="20"/>
              </w:rPr>
              <w:t>?</w:t>
            </w:r>
            <w:r w:rsidRPr="008B0912">
              <w:rPr>
                <w:rFonts w:ascii="Arial" w:hAnsi="Arial"/>
                <w:sz w:val="20"/>
              </w:rPr>
              <w:t>”</w:t>
            </w:r>
          </w:p>
          <w:p w:rsidR="008B0912" w:rsidRPr="008B0912" w:rsidRDefault="008B0912" w:rsidP="00C960FE">
            <w:pPr>
              <w:pStyle w:val="List"/>
              <w:numPr>
                <w:ilvl w:val="0"/>
                <w:numId w:val="46"/>
              </w:numPr>
              <w:tabs>
                <w:tab w:val="left" w:pos="357"/>
              </w:tabs>
              <w:spacing w:before="40"/>
              <w:ind w:left="357" w:hanging="357"/>
              <w:rPr>
                <w:rFonts w:ascii="Arial" w:hAnsi="Arial"/>
                <w:sz w:val="20"/>
                <w:lang w:val="en-GB"/>
              </w:rPr>
            </w:pPr>
            <w:r w:rsidRPr="008B0912">
              <w:rPr>
                <w:rFonts w:ascii="Arial" w:hAnsi="Arial"/>
                <w:sz w:val="20"/>
                <w:lang w:val="en-GB"/>
              </w:rPr>
              <w:t>Experience shows that emergencies can be avoided or their effects can be mitigated when preparedness measures are taken. Contingency planning is a key to preparedness.</w:t>
            </w:r>
          </w:p>
          <w:p w:rsidR="008B0912" w:rsidRPr="008B0912" w:rsidRDefault="008B0912" w:rsidP="00C960FE">
            <w:pPr>
              <w:pStyle w:val="List"/>
              <w:numPr>
                <w:ilvl w:val="0"/>
                <w:numId w:val="46"/>
              </w:numPr>
              <w:tabs>
                <w:tab w:val="left" w:pos="357"/>
              </w:tabs>
              <w:spacing w:before="40"/>
              <w:ind w:left="357" w:hanging="357"/>
              <w:rPr>
                <w:rFonts w:ascii="Arial" w:hAnsi="Arial"/>
                <w:sz w:val="20"/>
                <w:lang w:val="en-GB"/>
              </w:rPr>
            </w:pPr>
            <w:r w:rsidRPr="008B0912">
              <w:rPr>
                <w:rFonts w:ascii="Arial" w:hAnsi="Arial"/>
                <w:sz w:val="20"/>
                <w:lang w:val="en-GB"/>
              </w:rPr>
              <w:t xml:space="preserve">Contingency planning provides an opportunity to identify constraints and focus on operational issues prior to the on-set of a crisis.  </w:t>
            </w:r>
          </w:p>
          <w:p w:rsidR="008B0912" w:rsidRPr="008B0912" w:rsidRDefault="008B0912" w:rsidP="00C960FE">
            <w:pPr>
              <w:pStyle w:val="List"/>
              <w:numPr>
                <w:ilvl w:val="0"/>
                <w:numId w:val="46"/>
              </w:numPr>
              <w:tabs>
                <w:tab w:val="left" w:pos="357"/>
              </w:tabs>
              <w:spacing w:before="40"/>
              <w:ind w:left="357" w:hanging="357"/>
              <w:rPr>
                <w:rFonts w:ascii="Arial" w:hAnsi="Arial"/>
                <w:sz w:val="20"/>
                <w:lang w:val="en-GB"/>
              </w:rPr>
            </w:pPr>
            <w:r w:rsidRPr="008B0912">
              <w:rPr>
                <w:rFonts w:ascii="Arial" w:hAnsi="Arial"/>
                <w:sz w:val="20"/>
                <w:lang w:val="en-GB"/>
              </w:rPr>
              <w:t xml:space="preserve">An active, </w:t>
            </w:r>
            <w:r w:rsidRPr="008B0912">
              <w:rPr>
                <w:rFonts w:ascii="Arial" w:hAnsi="Arial"/>
                <w:sz w:val="20"/>
                <w:lang w:val="en-GB" w:bidi="en-US"/>
              </w:rPr>
              <w:t xml:space="preserve">joint contingency planning process also enables involved actors to establish working relationships that can make a critical difference during a crisis. </w:t>
            </w:r>
          </w:p>
          <w:p w:rsidR="008B0912" w:rsidRPr="008B0912" w:rsidRDefault="008B0912" w:rsidP="00C960FE">
            <w:pPr>
              <w:pStyle w:val="List"/>
              <w:numPr>
                <w:ilvl w:val="0"/>
                <w:numId w:val="46"/>
              </w:numPr>
              <w:tabs>
                <w:tab w:val="left" w:pos="357"/>
              </w:tabs>
              <w:spacing w:before="40"/>
              <w:ind w:left="357" w:hanging="357"/>
              <w:rPr>
                <w:rFonts w:ascii="Arial" w:hAnsi="Arial"/>
                <w:sz w:val="20"/>
                <w:lang w:val="en-GB"/>
              </w:rPr>
            </w:pPr>
            <w:r w:rsidRPr="008B0912">
              <w:rPr>
                <w:rFonts w:ascii="Arial" w:hAnsi="Arial"/>
                <w:sz w:val="20"/>
                <w:lang w:val="en-GB" w:bidi="en-US"/>
              </w:rPr>
              <w:t>A common understanding of common challenges and of each other’s capacities and organizational requirements helps to facilitate effective collaboration in a crisis and adds better predictability, coherence, coordination and professionalism to a response.  It ensures there is no overlap or gaps in service provided.</w:t>
            </w:r>
          </w:p>
          <w:p w:rsidR="008B0912" w:rsidRPr="00C960FE" w:rsidRDefault="008B0912" w:rsidP="00C960FE">
            <w:pPr>
              <w:pStyle w:val="List"/>
              <w:tabs>
                <w:tab w:val="left" w:pos="360"/>
              </w:tabs>
              <w:ind w:left="232" w:firstLine="0"/>
              <w:rPr>
                <w:rFonts w:ascii="Arial" w:hAnsi="Arial"/>
                <w:sz w:val="16"/>
                <w:szCs w:val="16"/>
                <w:lang w:val="en-GB"/>
              </w:rPr>
            </w:pPr>
          </w:p>
          <w:p w:rsidR="008B0912" w:rsidRPr="008B0912" w:rsidRDefault="008B0912" w:rsidP="008B0912">
            <w:pPr>
              <w:numPr>
                <w:ilvl w:val="0"/>
                <w:numId w:val="4"/>
              </w:numPr>
              <w:spacing w:line="240" w:lineRule="auto"/>
              <w:rPr>
                <w:rFonts w:ascii="Arial" w:hAnsi="Arial"/>
                <w:sz w:val="20"/>
              </w:rPr>
            </w:pPr>
            <w:r w:rsidRPr="008B0912">
              <w:rPr>
                <w:rFonts w:ascii="Arial" w:hAnsi="Arial"/>
                <w:sz w:val="20"/>
              </w:rPr>
              <w:t>Ask participants “</w:t>
            </w:r>
            <w:r w:rsidRPr="008B0912">
              <w:rPr>
                <w:rFonts w:ascii="Arial" w:hAnsi="Arial"/>
                <w:b/>
                <w:i/>
                <w:sz w:val="20"/>
              </w:rPr>
              <w:t>Who should be involved in the contingency planning process</w:t>
            </w:r>
            <w:r w:rsidRPr="008B0912">
              <w:rPr>
                <w:rFonts w:ascii="Arial" w:hAnsi="Arial"/>
                <w:i/>
                <w:sz w:val="20"/>
              </w:rPr>
              <w:t>?</w:t>
            </w:r>
            <w:r w:rsidRPr="008B0912">
              <w:rPr>
                <w:rFonts w:ascii="Arial" w:hAnsi="Arial"/>
                <w:sz w:val="20"/>
              </w:rPr>
              <w:t>”</w:t>
            </w:r>
          </w:p>
          <w:p w:rsidR="008B0912" w:rsidRPr="008B0912" w:rsidRDefault="008B0912" w:rsidP="00C960FE">
            <w:pPr>
              <w:pStyle w:val="List"/>
              <w:numPr>
                <w:ilvl w:val="0"/>
                <w:numId w:val="46"/>
              </w:numPr>
              <w:tabs>
                <w:tab w:val="left" w:pos="360"/>
              </w:tabs>
              <w:spacing w:before="40"/>
              <w:ind w:left="357" w:hanging="357"/>
              <w:rPr>
                <w:rFonts w:ascii="Arial" w:hAnsi="Arial"/>
                <w:sz w:val="20"/>
                <w:lang w:val="en-GB" w:bidi="en-US"/>
              </w:rPr>
            </w:pPr>
            <w:r w:rsidRPr="008B0912">
              <w:rPr>
                <w:rFonts w:ascii="Arial" w:hAnsi="Arial"/>
                <w:sz w:val="20"/>
                <w:lang w:val="en-GB" w:bidi="en-US"/>
              </w:rPr>
              <w:t xml:space="preserve">Contingency planning is most effective when it is a participatory process that includes all those that will be required to work together in the event of an emergency.  Who depends on the level of the contingency planning, whether national, regional, </w:t>
            </w:r>
            <w:proofErr w:type="gramStart"/>
            <w:r w:rsidRPr="008B0912">
              <w:rPr>
                <w:rFonts w:ascii="Arial" w:hAnsi="Arial"/>
                <w:sz w:val="20"/>
                <w:lang w:val="en-GB" w:bidi="en-US"/>
              </w:rPr>
              <w:t>local</w:t>
            </w:r>
            <w:proofErr w:type="gramEnd"/>
            <w:r w:rsidRPr="008B0912">
              <w:rPr>
                <w:rFonts w:ascii="Arial" w:hAnsi="Arial"/>
                <w:sz w:val="20"/>
                <w:lang w:val="en-GB" w:bidi="en-US"/>
              </w:rPr>
              <w:t xml:space="preserve">/school.  </w:t>
            </w:r>
          </w:p>
          <w:p w:rsidR="008B0912" w:rsidRPr="008B0912" w:rsidRDefault="008B0912" w:rsidP="00C960FE">
            <w:pPr>
              <w:pStyle w:val="List"/>
              <w:numPr>
                <w:ilvl w:val="0"/>
                <w:numId w:val="46"/>
              </w:numPr>
              <w:tabs>
                <w:tab w:val="left" w:pos="360"/>
              </w:tabs>
              <w:spacing w:before="40"/>
              <w:ind w:left="357" w:hanging="357"/>
              <w:rPr>
                <w:rFonts w:ascii="Arial" w:hAnsi="Arial"/>
                <w:sz w:val="20"/>
                <w:lang w:val="en-GB" w:bidi="en-US"/>
              </w:rPr>
            </w:pPr>
            <w:r w:rsidRPr="008B0912">
              <w:rPr>
                <w:rFonts w:ascii="Arial" w:hAnsi="Arial"/>
                <w:sz w:val="20"/>
                <w:lang w:val="en-GB" w:bidi="en-US"/>
              </w:rPr>
              <w:t>Some examples include: Education cluster members, Ministry of Education staff from national and local levels, INGOs and United Nations agencies, NGOs and community-based organisations including parent-teacher associations, teachers, teachers’ unions, students.</w:t>
            </w:r>
          </w:p>
          <w:p w:rsidR="008B0912" w:rsidRPr="008B0912" w:rsidRDefault="008B0912" w:rsidP="00C960FE">
            <w:pPr>
              <w:pStyle w:val="List"/>
              <w:numPr>
                <w:ilvl w:val="0"/>
                <w:numId w:val="46"/>
              </w:numPr>
              <w:tabs>
                <w:tab w:val="left" w:pos="360"/>
              </w:tabs>
              <w:spacing w:before="40"/>
              <w:ind w:left="357" w:hanging="357"/>
              <w:rPr>
                <w:rFonts w:ascii="Arial" w:hAnsi="Arial"/>
                <w:sz w:val="20"/>
                <w:lang w:val="en-GB" w:bidi="en-US"/>
              </w:rPr>
            </w:pPr>
            <w:r w:rsidRPr="008B0912">
              <w:rPr>
                <w:rFonts w:ascii="Arial" w:hAnsi="Arial"/>
                <w:sz w:val="20"/>
                <w:lang w:val="en-GB" w:bidi="en-US"/>
              </w:rPr>
              <w:t>It is important to include experts at different stages in the planning process (i.e. engineers for safe school construction, national disaster management authorities to ensure coordination with other sectors).</w:t>
            </w:r>
          </w:p>
          <w:p w:rsidR="008B0912" w:rsidRPr="00C960FE" w:rsidRDefault="008B0912" w:rsidP="00C960FE">
            <w:pPr>
              <w:spacing w:line="240" w:lineRule="auto"/>
              <w:rPr>
                <w:rFonts w:ascii="Arial" w:hAnsi="Arial"/>
                <w:sz w:val="16"/>
                <w:szCs w:val="16"/>
              </w:rPr>
            </w:pPr>
          </w:p>
          <w:p w:rsidR="008B0912" w:rsidRPr="008B0912" w:rsidRDefault="001C191D" w:rsidP="008B0912">
            <w:pPr>
              <w:numPr>
                <w:ilvl w:val="0"/>
                <w:numId w:val="4"/>
              </w:numPr>
              <w:spacing w:line="240" w:lineRule="auto"/>
              <w:rPr>
                <w:rFonts w:ascii="Arial" w:hAnsi="Arial"/>
                <w:sz w:val="20"/>
              </w:rPr>
            </w:pPr>
            <w:r>
              <w:rPr>
                <w:rFonts w:ascii="Arial" w:hAnsi="Arial"/>
                <w:sz w:val="20"/>
              </w:rPr>
              <w:t>Uses of c</w:t>
            </w:r>
            <w:r w:rsidR="008B0912" w:rsidRPr="008B0912">
              <w:rPr>
                <w:rFonts w:ascii="Arial" w:hAnsi="Arial"/>
                <w:sz w:val="20"/>
              </w:rPr>
              <w:t xml:space="preserve">ontingency </w:t>
            </w:r>
            <w:r>
              <w:rPr>
                <w:rFonts w:ascii="Arial" w:hAnsi="Arial"/>
                <w:sz w:val="20"/>
              </w:rPr>
              <w:t>p</w:t>
            </w:r>
            <w:r w:rsidR="008B0912" w:rsidRPr="008B0912">
              <w:rPr>
                <w:rFonts w:ascii="Arial" w:hAnsi="Arial"/>
                <w:sz w:val="20"/>
              </w:rPr>
              <w:t>lans</w:t>
            </w:r>
          </w:p>
          <w:p w:rsidR="008B0912" w:rsidRPr="008B0912" w:rsidRDefault="008B0912" w:rsidP="008B0912">
            <w:pPr>
              <w:pStyle w:val="List"/>
              <w:tabs>
                <w:tab w:val="left" w:pos="360"/>
              </w:tabs>
              <w:spacing w:before="60" w:after="20"/>
              <w:ind w:left="0" w:firstLine="0"/>
              <w:rPr>
                <w:rFonts w:ascii="Arial" w:hAnsi="Arial"/>
                <w:sz w:val="20"/>
                <w:lang w:val="en-GB" w:bidi="en-US"/>
              </w:rPr>
            </w:pPr>
            <w:r w:rsidRPr="008B0912">
              <w:rPr>
                <w:rFonts w:ascii="Arial" w:hAnsi="Arial"/>
                <w:b/>
                <w:sz w:val="20"/>
                <w:lang w:val="en-GB"/>
              </w:rPr>
              <w:t xml:space="preserve">-  </w:t>
            </w:r>
            <w:r w:rsidRPr="008B0912">
              <w:rPr>
                <w:rFonts w:ascii="Arial" w:hAnsi="Arial"/>
                <w:b/>
                <w:sz w:val="20"/>
                <w:lang w:val="en-GB" w:bidi="en-US"/>
              </w:rPr>
              <w:t>Emergency risk reduction</w:t>
            </w:r>
          </w:p>
          <w:p w:rsidR="008B0912" w:rsidRPr="008B0912" w:rsidRDefault="008B0912" w:rsidP="008B0912">
            <w:pPr>
              <w:pStyle w:val="List"/>
              <w:numPr>
                <w:ilvl w:val="0"/>
                <w:numId w:val="44"/>
              </w:numPr>
              <w:tabs>
                <w:tab w:val="left" w:pos="360"/>
              </w:tabs>
              <w:rPr>
                <w:rFonts w:ascii="Arial" w:hAnsi="Arial"/>
                <w:sz w:val="20"/>
                <w:lang w:val="en-GB" w:bidi="en-US"/>
              </w:rPr>
            </w:pPr>
            <w:r w:rsidRPr="008B0912">
              <w:rPr>
                <w:rFonts w:ascii="Arial" w:hAnsi="Arial"/>
                <w:sz w:val="20"/>
                <w:lang w:val="en-GB" w:bidi="en-US"/>
              </w:rPr>
              <w:t>A framework for analyzing risks, vulnerability and response capacity, as well as identify preparedness measures to prevent or alleviate the impact of emergencies</w:t>
            </w:r>
          </w:p>
          <w:p w:rsidR="008B0912" w:rsidRPr="008B0912" w:rsidRDefault="008B0912" w:rsidP="008B0912">
            <w:pPr>
              <w:pStyle w:val="List"/>
              <w:numPr>
                <w:ilvl w:val="0"/>
                <w:numId w:val="44"/>
              </w:numPr>
              <w:tabs>
                <w:tab w:val="left" w:pos="360"/>
              </w:tabs>
              <w:rPr>
                <w:rFonts w:ascii="Arial" w:hAnsi="Arial"/>
                <w:sz w:val="20"/>
                <w:lang w:val="en-GB" w:bidi="en-US"/>
              </w:rPr>
            </w:pPr>
            <w:r w:rsidRPr="008B0912">
              <w:rPr>
                <w:rFonts w:ascii="Arial" w:hAnsi="Arial"/>
                <w:sz w:val="20"/>
                <w:lang w:val="en-GB" w:bidi="en-US"/>
              </w:rPr>
              <w:t xml:space="preserve">Provides a joint platform for involved actors </w:t>
            </w:r>
          </w:p>
          <w:p w:rsidR="008B0912" w:rsidRPr="008B0912" w:rsidRDefault="008B0912" w:rsidP="008B0912">
            <w:pPr>
              <w:pStyle w:val="List"/>
              <w:tabs>
                <w:tab w:val="left" w:pos="360"/>
              </w:tabs>
              <w:spacing w:before="60" w:after="20"/>
              <w:ind w:left="0" w:firstLine="0"/>
              <w:rPr>
                <w:rFonts w:ascii="Arial" w:hAnsi="Arial"/>
                <w:sz w:val="20"/>
                <w:lang w:val="en-GB" w:bidi="en-US"/>
              </w:rPr>
            </w:pPr>
            <w:r w:rsidRPr="008B0912">
              <w:rPr>
                <w:rFonts w:ascii="Arial" w:hAnsi="Arial"/>
                <w:sz w:val="20"/>
                <w:lang w:val="en-GB" w:bidi="en-US"/>
              </w:rPr>
              <w:lastRenderedPageBreak/>
              <w:t xml:space="preserve">-  </w:t>
            </w:r>
            <w:r w:rsidRPr="008B0912">
              <w:rPr>
                <w:rFonts w:ascii="Arial" w:hAnsi="Arial"/>
                <w:b/>
                <w:sz w:val="20"/>
                <w:lang w:val="en-GB" w:bidi="en-US"/>
              </w:rPr>
              <w:t>Capacity development</w:t>
            </w:r>
          </w:p>
          <w:p w:rsidR="008B0912" w:rsidRPr="008B0912" w:rsidRDefault="008B0912" w:rsidP="008B0912">
            <w:pPr>
              <w:pStyle w:val="List"/>
              <w:numPr>
                <w:ilvl w:val="0"/>
                <w:numId w:val="45"/>
              </w:numPr>
              <w:tabs>
                <w:tab w:val="left" w:pos="360"/>
              </w:tabs>
              <w:rPr>
                <w:rFonts w:ascii="Arial" w:hAnsi="Arial"/>
                <w:sz w:val="20"/>
                <w:lang w:val="en-GB" w:bidi="en-US"/>
              </w:rPr>
            </w:pPr>
            <w:r w:rsidRPr="008B0912">
              <w:rPr>
                <w:rFonts w:ascii="Arial" w:hAnsi="Arial"/>
                <w:sz w:val="20"/>
                <w:lang w:val="en-GB" w:bidi="en-US"/>
              </w:rPr>
              <w:t>Contingency planning can be a helpful framework to increase participants’ awareness of, access to, and use of existing tools, e.g. best practices, templates, sample projects, multi sectoral rapid assessment forms, agency specific toolkits etc.</w:t>
            </w:r>
          </w:p>
          <w:p w:rsidR="008B0912" w:rsidRPr="008B0912" w:rsidRDefault="008B0912" w:rsidP="008B0912">
            <w:pPr>
              <w:pStyle w:val="List"/>
              <w:tabs>
                <w:tab w:val="left" w:pos="360"/>
              </w:tabs>
              <w:spacing w:before="60" w:after="20"/>
              <w:ind w:left="0" w:firstLine="0"/>
              <w:rPr>
                <w:rFonts w:ascii="Arial" w:hAnsi="Arial"/>
                <w:sz w:val="20"/>
                <w:lang w:val="en-GB" w:bidi="en-US"/>
              </w:rPr>
            </w:pPr>
            <w:r w:rsidRPr="008B0912">
              <w:rPr>
                <w:rFonts w:ascii="Arial" w:hAnsi="Arial"/>
                <w:sz w:val="20"/>
                <w:lang w:val="en-GB" w:bidi="en-US"/>
              </w:rPr>
              <w:t xml:space="preserve">-  </w:t>
            </w:r>
            <w:r w:rsidRPr="008B0912">
              <w:rPr>
                <w:rFonts w:ascii="Arial" w:hAnsi="Arial"/>
                <w:b/>
                <w:sz w:val="20"/>
                <w:lang w:val="en-GB" w:bidi="en-US"/>
              </w:rPr>
              <w:t>Monitoring and review of preparedness measures</w:t>
            </w:r>
          </w:p>
          <w:p w:rsidR="008B0912" w:rsidRPr="008B0912" w:rsidRDefault="008B0912" w:rsidP="008B0912">
            <w:pPr>
              <w:pStyle w:val="List"/>
              <w:numPr>
                <w:ilvl w:val="0"/>
                <w:numId w:val="43"/>
              </w:numPr>
              <w:tabs>
                <w:tab w:val="left" w:pos="360"/>
              </w:tabs>
              <w:rPr>
                <w:rFonts w:ascii="Arial" w:hAnsi="Arial"/>
                <w:sz w:val="20"/>
                <w:lang w:val="en-GB" w:bidi="en-US"/>
              </w:rPr>
            </w:pPr>
            <w:r w:rsidRPr="008B0912">
              <w:rPr>
                <w:rFonts w:ascii="Arial" w:hAnsi="Arial"/>
                <w:sz w:val="20"/>
                <w:lang w:val="en-GB" w:bidi="en-US"/>
              </w:rPr>
              <w:t xml:space="preserve">Objectives and indicators, defined during the contingency planning process, provide an effective framework for monitoring progress, outcomes, and impact. </w:t>
            </w:r>
          </w:p>
          <w:p w:rsidR="008B0912" w:rsidRPr="008B0912" w:rsidRDefault="008B0912" w:rsidP="008B0912">
            <w:pPr>
              <w:pStyle w:val="List"/>
              <w:tabs>
                <w:tab w:val="left" w:pos="360"/>
              </w:tabs>
              <w:spacing w:before="60" w:after="20"/>
              <w:ind w:left="0" w:firstLine="0"/>
              <w:rPr>
                <w:rFonts w:ascii="Arial" w:hAnsi="Arial"/>
                <w:sz w:val="20"/>
                <w:lang w:val="en-GB" w:bidi="en-US"/>
              </w:rPr>
            </w:pPr>
            <w:r w:rsidRPr="008B0912">
              <w:rPr>
                <w:rFonts w:ascii="Arial" w:hAnsi="Arial"/>
                <w:sz w:val="20"/>
                <w:lang w:val="en-GB" w:bidi="en-US"/>
              </w:rPr>
              <w:t xml:space="preserve">-  </w:t>
            </w:r>
            <w:r w:rsidRPr="008B0912">
              <w:rPr>
                <w:rFonts w:ascii="Arial" w:hAnsi="Arial"/>
                <w:b/>
                <w:sz w:val="20"/>
                <w:lang w:val="en-GB" w:bidi="en-US"/>
              </w:rPr>
              <w:t>Communication and Advocacy</w:t>
            </w:r>
          </w:p>
          <w:p w:rsidR="008B0912" w:rsidRPr="008B0912" w:rsidRDefault="008B0912" w:rsidP="008B0912">
            <w:pPr>
              <w:pStyle w:val="List"/>
              <w:numPr>
                <w:ilvl w:val="0"/>
                <w:numId w:val="43"/>
              </w:numPr>
              <w:tabs>
                <w:tab w:val="left" w:pos="360"/>
              </w:tabs>
              <w:rPr>
                <w:rFonts w:ascii="Arial" w:hAnsi="Arial"/>
                <w:sz w:val="20"/>
                <w:lang w:val="en-GB" w:bidi="en-US"/>
              </w:rPr>
            </w:pPr>
            <w:r w:rsidRPr="008B0912">
              <w:rPr>
                <w:rFonts w:ascii="Arial" w:hAnsi="Arial"/>
                <w:sz w:val="20"/>
                <w:lang w:val="en-GB" w:bidi="en-US"/>
              </w:rPr>
              <w:t xml:space="preserve">A robust analysis of risks and hazards and appropriate strategies to address them is a good basis for communication and advocacy on the importance of education in emergency preparedness initiatives </w:t>
            </w:r>
          </w:p>
          <w:p w:rsidR="008B0912" w:rsidRPr="008B0912" w:rsidRDefault="008B0912" w:rsidP="001C191D">
            <w:pPr>
              <w:pStyle w:val="List"/>
              <w:tabs>
                <w:tab w:val="left" w:pos="360"/>
              </w:tabs>
              <w:spacing w:before="60" w:after="20"/>
              <w:ind w:left="0" w:firstLine="0"/>
              <w:rPr>
                <w:rFonts w:ascii="Arial" w:hAnsi="Arial"/>
                <w:sz w:val="20"/>
                <w:lang w:val="en-GB" w:bidi="en-US"/>
              </w:rPr>
            </w:pPr>
            <w:r w:rsidRPr="008B0912">
              <w:rPr>
                <w:rFonts w:ascii="Arial" w:hAnsi="Arial"/>
                <w:sz w:val="20"/>
                <w:lang w:val="en-GB" w:bidi="en-US"/>
              </w:rPr>
              <w:t xml:space="preserve">-  </w:t>
            </w:r>
            <w:r w:rsidRPr="008B0912">
              <w:rPr>
                <w:rFonts w:ascii="Arial" w:hAnsi="Arial"/>
                <w:b/>
                <w:sz w:val="20"/>
                <w:lang w:val="en-GB" w:bidi="en-US"/>
              </w:rPr>
              <w:t>Mobilising resources</w:t>
            </w:r>
            <w:r w:rsidRPr="008B0912">
              <w:rPr>
                <w:rFonts w:ascii="Arial" w:hAnsi="Arial"/>
                <w:sz w:val="20"/>
                <w:lang w:val="en-GB" w:bidi="en-US"/>
              </w:rPr>
              <w:t xml:space="preserve"> </w:t>
            </w:r>
          </w:p>
          <w:p w:rsidR="008B0912" w:rsidRPr="008B0912" w:rsidRDefault="008B0912" w:rsidP="008B0912">
            <w:pPr>
              <w:pStyle w:val="List"/>
              <w:numPr>
                <w:ilvl w:val="0"/>
                <w:numId w:val="42"/>
              </w:numPr>
              <w:tabs>
                <w:tab w:val="left" w:pos="360"/>
              </w:tabs>
              <w:rPr>
                <w:rFonts w:ascii="Arial" w:hAnsi="Arial"/>
                <w:sz w:val="20"/>
                <w:lang w:val="en-GB" w:bidi="en-US"/>
              </w:rPr>
            </w:pPr>
            <w:r w:rsidRPr="008B0912">
              <w:rPr>
                <w:rFonts w:ascii="Arial" w:hAnsi="Arial"/>
                <w:sz w:val="20"/>
                <w:lang w:val="en-GB" w:bidi="en-US"/>
              </w:rPr>
              <w:t>The role of preparedness in becoming slowly, but increasingly recognized by donors. Donors will also expect to see coherent and well informed plans;</w:t>
            </w:r>
          </w:p>
          <w:p w:rsidR="008B0912" w:rsidRPr="008B0912" w:rsidRDefault="008B0912" w:rsidP="008B0912">
            <w:pPr>
              <w:pStyle w:val="List"/>
              <w:numPr>
                <w:ilvl w:val="0"/>
                <w:numId w:val="42"/>
              </w:numPr>
              <w:tabs>
                <w:tab w:val="left" w:pos="360"/>
              </w:tabs>
              <w:rPr>
                <w:rFonts w:ascii="Arial" w:hAnsi="Arial"/>
                <w:sz w:val="20"/>
                <w:lang w:val="en-GB" w:bidi="en-US"/>
              </w:rPr>
            </w:pPr>
            <w:r w:rsidRPr="008B0912">
              <w:rPr>
                <w:rFonts w:ascii="Arial" w:hAnsi="Arial"/>
                <w:sz w:val="20"/>
                <w:lang w:val="en-GB" w:bidi="en-US"/>
              </w:rPr>
              <w:t>Inadequate analysis or documentation of needs and priorities can lead to wasted investments as resources might be allocated in ways that leave significant gaps unfilled.</w:t>
            </w:r>
          </w:p>
          <w:p w:rsidR="008B0912" w:rsidRPr="001C191D" w:rsidRDefault="008B0912" w:rsidP="008B0912">
            <w:pPr>
              <w:pStyle w:val="List"/>
              <w:tabs>
                <w:tab w:val="left" w:pos="360"/>
              </w:tabs>
              <w:ind w:left="720" w:firstLine="0"/>
              <w:rPr>
                <w:rFonts w:ascii="Arial" w:hAnsi="Arial"/>
                <w:sz w:val="20"/>
                <w:lang w:val="en-GB" w:bidi="en-US"/>
              </w:rPr>
            </w:pPr>
          </w:p>
          <w:p w:rsidR="008B0912" w:rsidRPr="001C191D" w:rsidRDefault="008B0912" w:rsidP="001C191D">
            <w:pPr>
              <w:numPr>
                <w:ilvl w:val="0"/>
                <w:numId w:val="4"/>
              </w:numPr>
              <w:spacing w:line="240" w:lineRule="auto"/>
              <w:rPr>
                <w:rFonts w:ascii="Arial" w:hAnsi="Arial"/>
                <w:sz w:val="20"/>
              </w:rPr>
            </w:pPr>
            <w:r w:rsidRPr="001C191D">
              <w:rPr>
                <w:rFonts w:ascii="Arial" w:hAnsi="Arial"/>
                <w:sz w:val="20"/>
              </w:rPr>
              <w:t>Contingency planning process</w:t>
            </w:r>
          </w:p>
          <w:p w:rsidR="001C191D" w:rsidRDefault="008B0912" w:rsidP="001C191D">
            <w:pPr>
              <w:pStyle w:val="List"/>
              <w:tabs>
                <w:tab w:val="left" w:pos="360"/>
              </w:tabs>
              <w:spacing w:before="120"/>
              <w:ind w:left="0" w:firstLine="0"/>
              <w:rPr>
                <w:rFonts w:ascii="Arial" w:hAnsi="Arial"/>
                <w:sz w:val="20"/>
                <w:u w:val="single"/>
                <w:lang w:val="en-GB"/>
              </w:rPr>
            </w:pPr>
            <w:r w:rsidRPr="001C191D">
              <w:rPr>
                <w:rFonts w:ascii="Arial" w:hAnsi="Arial"/>
                <w:b/>
                <w:sz w:val="20"/>
                <w:lang w:val="en-GB"/>
              </w:rPr>
              <w:t>Analyse potential emergencies and their impact</w:t>
            </w:r>
            <w:r w:rsidR="001C191D" w:rsidRPr="00C960FE">
              <w:rPr>
                <w:rFonts w:ascii="Arial" w:hAnsi="Arial"/>
                <w:sz w:val="20"/>
                <w:lang w:val="en-GB"/>
              </w:rPr>
              <w:t>:</w:t>
            </w:r>
          </w:p>
          <w:p w:rsidR="008B0912" w:rsidRPr="008B0912" w:rsidRDefault="008B0912" w:rsidP="008B0912">
            <w:pPr>
              <w:pStyle w:val="List"/>
              <w:tabs>
                <w:tab w:val="left" w:pos="360"/>
              </w:tabs>
              <w:ind w:left="0" w:firstLine="0"/>
              <w:rPr>
                <w:rFonts w:ascii="Arial" w:hAnsi="Arial"/>
                <w:sz w:val="20"/>
                <w:lang w:val="en-GB" w:bidi="en-US"/>
              </w:rPr>
            </w:pPr>
            <w:r w:rsidRPr="008B0912">
              <w:rPr>
                <w:rFonts w:ascii="Arial" w:hAnsi="Arial"/>
                <w:sz w:val="20"/>
                <w:lang w:val="en-GB" w:bidi="en-US"/>
              </w:rPr>
              <w:t>This should include the possible emergency scenarios and the possible impact (i.e. number of families and children affected, number of houses/schools affected).  This can be done as part of a workshop or at a meeting of key education stakeholders.  An example of this is provided in the sample contingency plans provided.</w:t>
            </w:r>
          </w:p>
          <w:p w:rsidR="008B0912" w:rsidRPr="008B0912" w:rsidRDefault="008B0912" w:rsidP="001C191D">
            <w:pPr>
              <w:pStyle w:val="List"/>
              <w:tabs>
                <w:tab w:val="left" w:pos="360"/>
              </w:tabs>
              <w:spacing w:before="120"/>
              <w:ind w:left="0" w:firstLine="0"/>
              <w:rPr>
                <w:rFonts w:ascii="Arial" w:hAnsi="Arial"/>
                <w:sz w:val="20"/>
                <w:lang w:val="en-GB" w:bidi="en-US"/>
              </w:rPr>
            </w:pPr>
            <w:r w:rsidRPr="001C191D">
              <w:rPr>
                <w:rFonts w:ascii="Arial" w:hAnsi="Arial"/>
                <w:b/>
                <w:sz w:val="20"/>
                <w:lang w:val="en-GB" w:bidi="en-US"/>
              </w:rPr>
              <w:t>Analyse existing capacities and strengths</w:t>
            </w:r>
            <w:r w:rsidRPr="00C960FE">
              <w:rPr>
                <w:rFonts w:ascii="Arial" w:hAnsi="Arial"/>
                <w:sz w:val="20"/>
                <w:lang w:val="en-GB" w:bidi="en-US"/>
              </w:rPr>
              <w:t xml:space="preserve">: </w:t>
            </w:r>
          </w:p>
          <w:p w:rsidR="008B0912" w:rsidRPr="008B0912" w:rsidRDefault="008B0912" w:rsidP="001C191D">
            <w:pPr>
              <w:pStyle w:val="List"/>
              <w:tabs>
                <w:tab w:val="left" w:pos="360"/>
              </w:tabs>
              <w:spacing w:before="60"/>
              <w:ind w:left="0" w:firstLine="0"/>
              <w:rPr>
                <w:rFonts w:ascii="Arial" w:hAnsi="Arial"/>
                <w:sz w:val="20"/>
                <w:lang w:val="en-GB" w:bidi="en-US"/>
              </w:rPr>
            </w:pPr>
            <w:r w:rsidRPr="001C191D">
              <w:rPr>
                <w:rFonts w:ascii="Arial" w:hAnsi="Arial"/>
                <w:sz w:val="20"/>
                <w:lang w:val="en-GB" w:bidi="en-US"/>
              </w:rPr>
              <w:t xml:space="preserve">Conduct a </w:t>
            </w:r>
            <w:r w:rsidRPr="001C191D">
              <w:rPr>
                <w:rFonts w:ascii="Arial" w:hAnsi="Arial"/>
                <w:b/>
                <w:sz w:val="20"/>
                <w:lang w:val="en-GB" w:bidi="en-US"/>
              </w:rPr>
              <w:t>Who’s Doing What Where</w:t>
            </w:r>
            <w:r w:rsidRPr="001C191D">
              <w:rPr>
                <w:rFonts w:ascii="Arial" w:hAnsi="Arial"/>
                <w:sz w:val="20"/>
                <w:lang w:val="en-GB" w:bidi="en-US"/>
              </w:rPr>
              <w:t xml:space="preserve"> exercise</w:t>
            </w:r>
            <w:r w:rsidRPr="008B0912">
              <w:rPr>
                <w:rFonts w:ascii="Arial" w:hAnsi="Arial"/>
                <w:i/>
                <w:sz w:val="20"/>
                <w:lang w:val="en-GB" w:bidi="en-US"/>
              </w:rPr>
              <w:t xml:space="preserve"> </w:t>
            </w:r>
            <w:r w:rsidRPr="008B0912">
              <w:rPr>
                <w:rFonts w:ascii="Arial" w:hAnsi="Arial"/>
                <w:sz w:val="20"/>
                <w:lang w:val="en-GB" w:bidi="en-US"/>
              </w:rPr>
              <w:t>to map the current services provided by key education stakeholders.  This will ensure that during the contingency planning process, there is not overlap or gaps in service provision.  This can be done as part of a workshop, at a meeting of key education stakeholders or through email.   An example is provided.</w:t>
            </w:r>
          </w:p>
          <w:p w:rsidR="001C191D" w:rsidRDefault="008B0912" w:rsidP="001C191D">
            <w:pPr>
              <w:pStyle w:val="List"/>
              <w:tabs>
                <w:tab w:val="left" w:pos="360"/>
              </w:tabs>
              <w:spacing w:before="120"/>
              <w:ind w:left="0" w:firstLine="0"/>
              <w:rPr>
                <w:rFonts w:ascii="Arial" w:hAnsi="Arial"/>
                <w:sz w:val="20"/>
                <w:lang w:val="en-GB"/>
              </w:rPr>
            </w:pPr>
            <w:r w:rsidRPr="001C191D">
              <w:rPr>
                <w:rFonts w:ascii="Arial" w:hAnsi="Arial"/>
                <w:b/>
                <w:sz w:val="20"/>
                <w:lang w:val="en-GB"/>
              </w:rPr>
              <w:t>Les</w:t>
            </w:r>
            <w:r w:rsidR="00E4777D">
              <w:rPr>
                <w:rFonts w:ascii="Arial" w:hAnsi="Arial"/>
                <w:b/>
                <w:sz w:val="20"/>
                <w:lang w:val="en-GB"/>
              </w:rPr>
              <w:t>sons l</w:t>
            </w:r>
            <w:r w:rsidRPr="001C191D">
              <w:rPr>
                <w:rFonts w:ascii="Arial" w:hAnsi="Arial"/>
                <w:b/>
                <w:sz w:val="20"/>
                <w:lang w:val="en-GB"/>
              </w:rPr>
              <w:t>earned exercise</w:t>
            </w:r>
            <w:r w:rsidRPr="008B0912">
              <w:rPr>
                <w:rFonts w:ascii="Arial" w:hAnsi="Arial"/>
                <w:i/>
                <w:sz w:val="20"/>
                <w:u w:val="single"/>
                <w:lang w:val="en-GB"/>
              </w:rPr>
              <w:t>:</w:t>
            </w:r>
            <w:r w:rsidRPr="008B0912">
              <w:rPr>
                <w:rFonts w:ascii="Arial" w:hAnsi="Arial"/>
                <w:sz w:val="20"/>
                <w:lang w:val="en-GB"/>
              </w:rPr>
              <w:t xml:space="preserve">  </w:t>
            </w:r>
          </w:p>
          <w:p w:rsidR="008B0912" w:rsidRPr="008B0912" w:rsidRDefault="008B0912" w:rsidP="001C191D">
            <w:pPr>
              <w:pStyle w:val="List"/>
              <w:tabs>
                <w:tab w:val="left" w:pos="360"/>
              </w:tabs>
              <w:spacing w:before="60"/>
              <w:ind w:left="0" w:firstLine="0"/>
              <w:rPr>
                <w:rFonts w:ascii="Arial" w:hAnsi="Arial"/>
                <w:sz w:val="20"/>
                <w:lang w:val="en-GB" w:bidi="en-US"/>
              </w:rPr>
            </w:pPr>
            <w:r w:rsidRPr="008B0912">
              <w:rPr>
                <w:rFonts w:ascii="Arial" w:hAnsi="Arial"/>
                <w:sz w:val="20"/>
                <w:lang w:val="en-GB"/>
              </w:rPr>
              <w:t>This is a reflection exercise and can help key education stakeholders understand what they did in a previous</w:t>
            </w:r>
            <w:r w:rsidRPr="008B0912">
              <w:rPr>
                <w:rFonts w:ascii="Arial" w:hAnsi="Arial"/>
                <w:sz w:val="20"/>
                <w:u w:val="single"/>
                <w:lang w:val="en-GB"/>
              </w:rPr>
              <w:t xml:space="preserve"> </w:t>
            </w:r>
            <w:r w:rsidRPr="008B0912">
              <w:rPr>
                <w:rFonts w:ascii="Arial" w:hAnsi="Arial"/>
                <w:sz w:val="20"/>
                <w:lang w:val="en-GB"/>
              </w:rPr>
              <w:t>emergency and what can be improved upon if another emergency occurs.  This ideally should be done as part of a workshop before the development of a contingency plan.</w:t>
            </w:r>
          </w:p>
          <w:p w:rsidR="00C960FE" w:rsidRPr="00C960FE" w:rsidRDefault="00C960FE" w:rsidP="00C960FE">
            <w:pPr>
              <w:pStyle w:val="List"/>
              <w:tabs>
                <w:tab w:val="left" w:pos="360"/>
              </w:tabs>
              <w:suppressAutoHyphens w:val="0"/>
              <w:spacing w:before="120"/>
              <w:ind w:left="0" w:firstLine="0"/>
              <w:rPr>
                <w:rFonts w:ascii="Arial" w:hAnsi="Arial"/>
                <w:b/>
                <w:sz w:val="20"/>
                <w:lang w:bidi="en-US"/>
              </w:rPr>
            </w:pPr>
            <w:r w:rsidRPr="00564977">
              <w:rPr>
                <w:rFonts w:ascii="Arial" w:hAnsi="Arial"/>
                <w:b/>
                <w:sz w:val="20"/>
                <w:lang w:val="en-GB" w:bidi="en-US"/>
              </w:rPr>
              <w:t>Develop</w:t>
            </w:r>
            <w:r w:rsidRPr="00C960FE">
              <w:rPr>
                <w:rFonts w:ascii="Arial" w:hAnsi="Arial"/>
                <w:b/>
                <w:sz w:val="20"/>
                <w:lang w:bidi="en-US"/>
              </w:rPr>
              <w:t xml:space="preserve"> a Contingency planning document:</w:t>
            </w:r>
          </w:p>
          <w:p w:rsidR="00C960FE" w:rsidRPr="005B56B0" w:rsidRDefault="00C960FE" w:rsidP="00C960FE">
            <w:pPr>
              <w:pStyle w:val="List"/>
              <w:tabs>
                <w:tab w:val="left" w:pos="360"/>
              </w:tabs>
              <w:ind w:left="0" w:firstLine="0"/>
              <w:rPr>
                <w:rFonts w:ascii="Arial" w:hAnsi="Arial"/>
                <w:sz w:val="20"/>
                <w:lang w:val="en-GB"/>
              </w:rPr>
            </w:pPr>
            <w:r>
              <w:rPr>
                <w:rFonts w:ascii="Arial" w:hAnsi="Arial"/>
                <w:sz w:val="20"/>
                <w:lang w:val="en-GB"/>
              </w:rPr>
              <w:t xml:space="preserve">This is a written plan that includes clear objectives and strategies for the sector, various emergency scenarios, </w:t>
            </w:r>
            <w:proofErr w:type="gramStart"/>
            <w:r>
              <w:rPr>
                <w:rFonts w:ascii="Arial" w:hAnsi="Arial"/>
                <w:sz w:val="20"/>
                <w:lang w:val="en-GB"/>
              </w:rPr>
              <w:t>capacity</w:t>
            </w:r>
            <w:proofErr w:type="gramEnd"/>
            <w:r>
              <w:rPr>
                <w:rFonts w:ascii="Arial" w:hAnsi="Arial"/>
                <w:sz w:val="20"/>
                <w:lang w:val="en-GB"/>
              </w:rPr>
              <w:t xml:space="preserve"> of key stakeholders, preparedness and response activities.  </w:t>
            </w:r>
            <w:r w:rsidRPr="00952AEF">
              <w:rPr>
                <w:rFonts w:ascii="Arial" w:hAnsi="Arial"/>
                <w:sz w:val="20"/>
                <w:lang w:val="en-GB"/>
              </w:rPr>
              <w:t xml:space="preserve">This written document is important to ensure the implementation of preparedness activities and it provides a written agreement between key education stakeholders. This can be done through a multi-day workshop at the national and/or local levels.  </w:t>
            </w:r>
          </w:p>
          <w:p w:rsidR="00C960FE" w:rsidRPr="00C960FE" w:rsidRDefault="00C960FE" w:rsidP="00C960FE">
            <w:pPr>
              <w:spacing w:before="120" w:line="240" w:lineRule="auto"/>
              <w:rPr>
                <w:rFonts w:ascii="Arial" w:hAnsi="Arial"/>
                <w:b/>
                <w:sz w:val="20"/>
                <w:lang w:bidi="en-US"/>
              </w:rPr>
            </w:pPr>
            <w:r w:rsidRPr="00C960FE">
              <w:rPr>
                <w:rFonts w:ascii="Arial" w:hAnsi="Arial"/>
                <w:b/>
                <w:sz w:val="20"/>
                <w:lang w:bidi="en-US"/>
              </w:rPr>
              <w:t>Implement Contingency plan:</w:t>
            </w:r>
          </w:p>
          <w:p w:rsidR="008B0912" w:rsidRPr="00C960FE" w:rsidRDefault="00C960FE" w:rsidP="00C960FE">
            <w:pPr>
              <w:spacing w:before="60" w:line="240" w:lineRule="auto"/>
              <w:rPr>
                <w:rFonts w:ascii="Arial" w:hAnsi="Arial" w:cs="Arial"/>
                <w:sz w:val="20"/>
              </w:rPr>
            </w:pPr>
            <w:r w:rsidRPr="00C960FE">
              <w:rPr>
                <w:rFonts w:ascii="Arial" w:hAnsi="Arial"/>
                <w:sz w:val="20"/>
                <w:u w:val="single"/>
                <w:lang w:bidi="en-US"/>
              </w:rPr>
              <w:t>T</w:t>
            </w:r>
            <w:r w:rsidRPr="00C960FE">
              <w:rPr>
                <w:rFonts w:ascii="Arial" w:hAnsi="Arial"/>
                <w:sz w:val="20"/>
                <w:lang w:bidi="en-US"/>
              </w:rPr>
              <w:t xml:space="preserve">his is the most important part of the contingency planning process.  If the plan is developed, but not implemented, there will be no emergency preparedness.  This is where often follow-through does not happen. </w:t>
            </w:r>
            <w:r>
              <w:rPr>
                <w:rFonts w:ascii="Arial" w:hAnsi="Arial"/>
                <w:sz w:val="20"/>
                <w:lang w:bidi="en-US"/>
              </w:rPr>
              <w:t xml:space="preserve">It is advisable to have </w:t>
            </w:r>
            <w:r w:rsidRPr="00C960FE">
              <w:rPr>
                <w:rFonts w:ascii="Arial" w:hAnsi="Arial"/>
                <w:sz w:val="20"/>
                <w:lang w:bidi="en-US"/>
              </w:rPr>
              <w:t>someone who can keep the process moving and hold members who committed to certain work to get them done.  Often this job falls to the Education Cluster Coordinator.  A preparedness checklist can be used and a mid-term review of the implementation of this plan can be conducted.</w:t>
            </w:r>
          </w:p>
        </w:tc>
      </w:tr>
    </w:tbl>
    <w:p w:rsidR="000F095B" w:rsidRPr="00552864" w:rsidRDefault="000F095B">
      <w:pPr>
        <w:rPr>
          <w:sz w:val="4"/>
          <w:szCs w:val="4"/>
        </w:rPr>
      </w:pPr>
    </w:p>
    <w:p w:rsidR="00C43F13" w:rsidRPr="00EB6E7C" w:rsidRDefault="000F095B" w:rsidP="002C7330">
      <w:pPr>
        <w:keepNext/>
        <w:pageBreakBefore/>
        <w:pBdr>
          <w:top w:val="single" w:sz="4" w:space="1" w:color="auto"/>
          <w:bottom w:val="single" w:sz="4" w:space="1" w:color="auto"/>
        </w:pBdr>
        <w:spacing w:after="120"/>
        <w:jc w:val="both"/>
        <w:rPr>
          <w:rFonts w:ascii="Arial" w:hAnsi="Arial" w:cs="Arial"/>
          <w:b/>
          <w:sz w:val="28"/>
          <w:szCs w:val="28"/>
        </w:rPr>
      </w:pPr>
      <w:r>
        <w:rPr>
          <w:rFonts w:ascii="Arial" w:hAnsi="Arial" w:cs="Arial"/>
          <w:b/>
          <w:sz w:val="28"/>
          <w:szCs w:val="28"/>
        </w:rPr>
        <w:lastRenderedPageBreak/>
        <w:t>2.</w:t>
      </w:r>
      <w:r w:rsidR="002C7330">
        <w:rPr>
          <w:rFonts w:ascii="Arial" w:hAnsi="Arial" w:cs="Arial"/>
          <w:b/>
          <w:sz w:val="28"/>
          <w:szCs w:val="28"/>
        </w:rPr>
        <w:t xml:space="preserve"> </w:t>
      </w:r>
      <w:r w:rsidR="00F55BF2">
        <w:rPr>
          <w:rFonts w:ascii="Arial" w:hAnsi="Arial" w:cs="Arial"/>
          <w:b/>
          <w:sz w:val="28"/>
          <w:szCs w:val="28"/>
        </w:rPr>
        <w:t>Exercise: Lessons Learned</w:t>
      </w:r>
    </w:p>
    <w:p w:rsidR="00C43F13" w:rsidRPr="00EB6E7C" w:rsidRDefault="009D0900" w:rsidP="00C87842">
      <w:pPr>
        <w:keepNext/>
        <w:spacing w:before="120" w:after="120"/>
        <w:rPr>
          <w:rFonts w:ascii="Arial" w:hAnsi="Arial" w:cs="Arial"/>
          <w:b/>
          <w:sz w:val="22"/>
          <w:szCs w:val="22"/>
        </w:rPr>
      </w:pPr>
      <w:r>
        <w:rPr>
          <w:rFonts w:ascii="Arial" w:hAnsi="Arial" w:cs="Arial"/>
          <w:b/>
          <w:sz w:val="22"/>
          <w:szCs w:val="22"/>
        </w:rPr>
        <w:t>90</w:t>
      </w:r>
      <w:r w:rsidR="00C43F13" w:rsidRPr="00EB6E7C">
        <w:rPr>
          <w:rFonts w:ascii="Arial" w:hAnsi="Arial" w:cs="Arial"/>
          <w:b/>
          <w:sz w:val="22"/>
          <w:szCs w:val="22"/>
        </w:rPr>
        <w:t xml:space="preserve"> minutes</w:t>
      </w:r>
    </w:p>
    <w:tbl>
      <w:tblPr>
        <w:tblW w:w="10044" w:type="dxa"/>
        <w:jc w:val="center"/>
        <w:tblInd w:w="592" w:type="dxa"/>
        <w:tblBorders>
          <w:bottom w:val="single" w:sz="4" w:space="0" w:color="auto"/>
        </w:tblBorders>
        <w:tblLook w:val="0000"/>
      </w:tblPr>
      <w:tblGrid>
        <w:gridCol w:w="2777"/>
        <w:gridCol w:w="7267"/>
      </w:tblGrid>
      <w:tr w:rsidR="00C43F13" w:rsidRPr="00EB6E7C" w:rsidTr="00F960A8">
        <w:trPr>
          <w:trHeight w:val="255"/>
          <w:jc w:val="center"/>
        </w:trPr>
        <w:tc>
          <w:tcPr>
            <w:tcW w:w="2777" w:type="dxa"/>
            <w:tcBorders>
              <w:bottom w:val="nil"/>
            </w:tcBorders>
            <w:shd w:val="clear" w:color="auto" w:fill="auto"/>
            <w:noWrap/>
          </w:tcPr>
          <w:p w:rsidR="00F34F54" w:rsidRPr="00774564" w:rsidRDefault="00F34F54" w:rsidP="00C87842">
            <w:pPr>
              <w:rPr>
                <w:sz w:val="16"/>
                <w:szCs w:val="16"/>
              </w:rPr>
            </w:pPr>
          </w:p>
          <w:p w:rsidR="000A5441" w:rsidRPr="00774564" w:rsidRDefault="00356802" w:rsidP="00C87842">
            <w:pPr>
              <w:rPr>
                <w:sz w:val="16"/>
                <w:szCs w:val="16"/>
              </w:rPr>
            </w:pPr>
            <w:r>
              <w:rPr>
                <w:noProof/>
                <w:sz w:val="16"/>
                <w:szCs w:val="16"/>
                <w:lang w:eastAsia="en-GB"/>
              </w:rPr>
              <w:drawing>
                <wp:inline distT="0" distB="0" distL="0" distR="0">
                  <wp:extent cx="1559560" cy="1169671"/>
                  <wp:effectExtent l="19050" t="19050" r="21590" b="11429"/>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1560810" cy="1170608"/>
                          </a:xfrm>
                          <a:prstGeom prst="rect">
                            <a:avLst/>
                          </a:prstGeom>
                          <a:noFill/>
                          <a:ln>
                            <a:solidFill>
                              <a:schemeClr val="accent1"/>
                            </a:solidFill>
                          </a:ln>
                        </pic:spPr>
                      </pic:pic>
                    </a:graphicData>
                  </a:graphic>
                </wp:inline>
              </w:drawing>
            </w:r>
          </w:p>
          <w:p w:rsidR="000A5441" w:rsidRPr="00774564" w:rsidRDefault="000A5441" w:rsidP="00C87842">
            <w:pPr>
              <w:rPr>
                <w:sz w:val="16"/>
                <w:szCs w:val="16"/>
              </w:rPr>
            </w:pPr>
          </w:p>
          <w:p w:rsidR="000A5441" w:rsidRPr="00774564" w:rsidRDefault="000A5441" w:rsidP="00C87842">
            <w:pPr>
              <w:rPr>
                <w:sz w:val="16"/>
                <w:szCs w:val="16"/>
              </w:rPr>
            </w:pPr>
          </w:p>
          <w:p w:rsidR="000A5441" w:rsidRPr="00774564" w:rsidRDefault="000A5441" w:rsidP="00C87842">
            <w:pPr>
              <w:rPr>
                <w:sz w:val="16"/>
                <w:szCs w:val="16"/>
              </w:rPr>
            </w:pPr>
          </w:p>
          <w:p w:rsidR="000A5441" w:rsidRPr="00774564" w:rsidRDefault="000A5441" w:rsidP="00C87842">
            <w:pPr>
              <w:rPr>
                <w:sz w:val="16"/>
                <w:szCs w:val="16"/>
              </w:rPr>
            </w:pPr>
          </w:p>
          <w:p w:rsidR="00C43F13" w:rsidRPr="00774564" w:rsidRDefault="00C43F13" w:rsidP="00C87842">
            <w:pPr>
              <w:rPr>
                <w:sz w:val="16"/>
                <w:szCs w:val="16"/>
              </w:rPr>
            </w:pPr>
          </w:p>
          <w:p w:rsidR="00C43F13" w:rsidRPr="00774564" w:rsidRDefault="00C43F13" w:rsidP="00C87842">
            <w:pPr>
              <w:rPr>
                <w:sz w:val="16"/>
                <w:szCs w:val="16"/>
              </w:rPr>
            </w:pPr>
          </w:p>
          <w:p w:rsidR="000A5441" w:rsidRPr="00774564" w:rsidRDefault="000A5441" w:rsidP="00C87842">
            <w:pPr>
              <w:rPr>
                <w:sz w:val="16"/>
                <w:szCs w:val="16"/>
              </w:rPr>
            </w:pPr>
          </w:p>
          <w:p w:rsidR="000A5441" w:rsidRPr="00774564" w:rsidRDefault="000A5441" w:rsidP="00C87842">
            <w:pPr>
              <w:rPr>
                <w:sz w:val="16"/>
                <w:szCs w:val="16"/>
              </w:rPr>
            </w:pPr>
          </w:p>
          <w:p w:rsidR="000A5441" w:rsidRPr="00774564" w:rsidRDefault="000A5441" w:rsidP="00C87842">
            <w:pPr>
              <w:rPr>
                <w:sz w:val="16"/>
                <w:szCs w:val="16"/>
              </w:rPr>
            </w:pPr>
          </w:p>
          <w:p w:rsidR="000A5441" w:rsidRPr="00774564" w:rsidRDefault="000A5441" w:rsidP="00C87842">
            <w:pPr>
              <w:rPr>
                <w:sz w:val="16"/>
                <w:szCs w:val="16"/>
              </w:rPr>
            </w:pPr>
          </w:p>
          <w:p w:rsidR="000A5441" w:rsidRPr="00774564" w:rsidRDefault="000A5441" w:rsidP="00C87842">
            <w:pPr>
              <w:rPr>
                <w:sz w:val="16"/>
                <w:szCs w:val="16"/>
              </w:rPr>
            </w:pPr>
          </w:p>
          <w:p w:rsidR="000A5441" w:rsidRPr="00774564" w:rsidRDefault="000A5441" w:rsidP="00C87842">
            <w:pPr>
              <w:rPr>
                <w:sz w:val="16"/>
                <w:szCs w:val="16"/>
              </w:rPr>
            </w:pPr>
          </w:p>
          <w:p w:rsidR="000A5441" w:rsidRPr="00774564" w:rsidRDefault="000A5441" w:rsidP="00C87842">
            <w:pPr>
              <w:rPr>
                <w:sz w:val="16"/>
                <w:szCs w:val="16"/>
              </w:rPr>
            </w:pPr>
          </w:p>
          <w:p w:rsidR="00C43F13" w:rsidRPr="00774564" w:rsidRDefault="00C43F13" w:rsidP="00C87842">
            <w:pPr>
              <w:rPr>
                <w:sz w:val="16"/>
                <w:szCs w:val="16"/>
              </w:rPr>
            </w:pPr>
          </w:p>
          <w:p w:rsidR="00C43F13" w:rsidRPr="00774564" w:rsidRDefault="00C43F13" w:rsidP="00C87842">
            <w:pPr>
              <w:rPr>
                <w:sz w:val="16"/>
                <w:szCs w:val="16"/>
              </w:rPr>
            </w:pPr>
          </w:p>
          <w:p w:rsidR="00774564" w:rsidRPr="00774564" w:rsidRDefault="00774564" w:rsidP="00C87842">
            <w:pPr>
              <w:rPr>
                <w:sz w:val="16"/>
                <w:szCs w:val="16"/>
              </w:rPr>
            </w:pPr>
          </w:p>
          <w:p w:rsidR="00774564" w:rsidRPr="00774564" w:rsidRDefault="00774564" w:rsidP="00C87842">
            <w:pPr>
              <w:rPr>
                <w:sz w:val="16"/>
                <w:szCs w:val="16"/>
              </w:rPr>
            </w:pPr>
          </w:p>
          <w:p w:rsidR="00774564" w:rsidRPr="00774564" w:rsidRDefault="00774564" w:rsidP="00C87842">
            <w:pPr>
              <w:rPr>
                <w:sz w:val="16"/>
                <w:szCs w:val="16"/>
              </w:rPr>
            </w:pPr>
          </w:p>
          <w:p w:rsidR="00774564" w:rsidRPr="00774564" w:rsidRDefault="00774564" w:rsidP="00C87842">
            <w:pPr>
              <w:rPr>
                <w:sz w:val="16"/>
                <w:szCs w:val="16"/>
              </w:rPr>
            </w:pPr>
          </w:p>
          <w:p w:rsidR="00774564" w:rsidRPr="00774564" w:rsidRDefault="00774564" w:rsidP="00C87842">
            <w:pPr>
              <w:rPr>
                <w:sz w:val="16"/>
                <w:szCs w:val="16"/>
              </w:rPr>
            </w:pPr>
          </w:p>
          <w:p w:rsidR="00774564" w:rsidRPr="00774564" w:rsidRDefault="00774564" w:rsidP="00C87842">
            <w:pPr>
              <w:rPr>
                <w:sz w:val="16"/>
                <w:szCs w:val="16"/>
              </w:rPr>
            </w:pPr>
          </w:p>
          <w:p w:rsidR="00774564" w:rsidRPr="00774564" w:rsidRDefault="00774564" w:rsidP="00C87842">
            <w:pPr>
              <w:rPr>
                <w:sz w:val="16"/>
                <w:szCs w:val="16"/>
              </w:rPr>
            </w:pPr>
          </w:p>
          <w:p w:rsidR="00774564" w:rsidRPr="00774564" w:rsidRDefault="00774564" w:rsidP="00C87842">
            <w:pPr>
              <w:rPr>
                <w:sz w:val="16"/>
                <w:szCs w:val="16"/>
              </w:rPr>
            </w:pPr>
          </w:p>
          <w:p w:rsidR="00774564" w:rsidRPr="00774564" w:rsidRDefault="00774564" w:rsidP="00C87842">
            <w:pPr>
              <w:rPr>
                <w:sz w:val="16"/>
                <w:szCs w:val="16"/>
              </w:rPr>
            </w:pPr>
          </w:p>
          <w:p w:rsidR="00774564" w:rsidRDefault="00774564" w:rsidP="00C87842">
            <w:pPr>
              <w:rPr>
                <w:sz w:val="16"/>
                <w:szCs w:val="16"/>
              </w:rPr>
            </w:pPr>
          </w:p>
          <w:p w:rsidR="005E5883" w:rsidRDefault="005E5883" w:rsidP="00C87842">
            <w:pPr>
              <w:rPr>
                <w:sz w:val="16"/>
                <w:szCs w:val="16"/>
              </w:rPr>
            </w:pPr>
          </w:p>
          <w:p w:rsidR="005E5883" w:rsidRDefault="005E5883" w:rsidP="00C87842">
            <w:pPr>
              <w:rPr>
                <w:sz w:val="16"/>
                <w:szCs w:val="16"/>
              </w:rPr>
            </w:pPr>
          </w:p>
          <w:p w:rsidR="005E5883" w:rsidRDefault="005E5883" w:rsidP="00C87842">
            <w:pPr>
              <w:rPr>
                <w:sz w:val="16"/>
                <w:szCs w:val="16"/>
              </w:rPr>
            </w:pPr>
          </w:p>
          <w:p w:rsidR="005E5883" w:rsidRDefault="005E5883" w:rsidP="00C87842">
            <w:pPr>
              <w:rPr>
                <w:sz w:val="16"/>
                <w:szCs w:val="16"/>
              </w:rPr>
            </w:pPr>
          </w:p>
          <w:p w:rsidR="005E5883" w:rsidRDefault="005E5883" w:rsidP="00C87842">
            <w:pPr>
              <w:rPr>
                <w:sz w:val="16"/>
                <w:szCs w:val="16"/>
              </w:rPr>
            </w:pPr>
          </w:p>
          <w:p w:rsidR="005E5883" w:rsidRDefault="005E5883" w:rsidP="00C87842">
            <w:pPr>
              <w:rPr>
                <w:sz w:val="16"/>
                <w:szCs w:val="16"/>
              </w:rPr>
            </w:pPr>
          </w:p>
          <w:p w:rsidR="005E5883" w:rsidRDefault="005E5883" w:rsidP="00C87842">
            <w:pPr>
              <w:rPr>
                <w:sz w:val="16"/>
                <w:szCs w:val="16"/>
              </w:rPr>
            </w:pPr>
          </w:p>
          <w:p w:rsidR="0003547E" w:rsidRDefault="0003547E" w:rsidP="00C87842">
            <w:pPr>
              <w:rPr>
                <w:rFonts w:ascii="Arial" w:eastAsia="Times New Roman" w:hAnsi="Arial" w:cs="Arial"/>
                <w:sz w:val="16"/>
                <w:szCs w:val="16"/>
              </w:rPr>
            </w:pPr>
          </w:p>
          <w:p w:rsidR="0003547E" w:rsidRPr="00774564" w:rsidRDefault="0003547E" w:rsidP="00C87842">
            <w:pPr>
              <w:rPr>
                <w:rFonts w:ascii="Arial" w:eastAsia="Times New Roman" w:hAnsi="Arial" w:cs="Arial"/>
                <w:sz w:val="16"/>
                <w:szCs w:val="16"/>
              </w:rPr>
            </w:pPr>
          </w:p>
        </w:tc>
        <w:tc>
          <w:tcPr>
            <w:tcW w:w="7267" w:type="dxa"/>
            <w:tcBorders>
              <w:bottom w:val="nil"/>
            </w:tcBorders>
            <w:shd w:val="clear" w:color="auto" w:fill="auto"/>
            <w:noWrap/>
          </w:tcPr>
          <w:p w:rsidR="000C033A" w:rsidRDefault="000C033A" w:rsidP="000C033A">
            <w:pPr>
              <w:tabs>
                <w:tab w:val="left" w:pos="360"/>
              </w:tabs>
              <w:spacing w:line="240" w:lineRule="auto"/>
              <w:ind w:left="233"/>
              <w:rPr>
                <w:rFonts w:ascii="Arial Italic" w:hAnsi="Arial Italic"/>
                <w:sz w:val="20"/>
              </w:rPr>
            </w:pPr>
            <w:r w:rsidRPr="00365B03">
              <w:rPr>
                <w:rFonts w:ascii="Arial" w:hAnsi="Arial" w:cs="Arial"/>
                <w:b/>
                <w:i/>
                <w:iCs/>
                <w:sz w:val="20"/>
              </w:rPr>
              <w:t>Note to Facilitator</w:t>
            </w:r>
            <w:r w:rsidRPr="00EB6E7C">
              <w:rPr>
                <w:rFonts w:ascii="Arial" w:hAnsi="Arial" w:cs="Arial"/>
                <w:i/>
                <w:iCs/>
                <w:sz w:val="20"/>
              </w:rPr>
              <w:t xml:space="preserve">: </w:t>
            </w:r>
            <w:r w:rsidRPr="00601A09">
              <w:rPr>
                <w:rFonts w:ascii="Arial Italic" w:hAnsi="Arial Italic"/>
                <w:sz w:val="20"/>
              </w:rPr>
              <w:t>This exercise can be done if the participants have already responded to an emergency.  If they have not responded to an emergency, this exercise will not be as useful.  If the participants have responded to many emergencies, it is recommended to review the lessons learned from the most recent or largest emergency.  This exercise is designed to be over 90 minutes, but it can be reduced to 60 minutes or expanded to 120 minutes depending on how much time you have and would like to focus on this particular exercise.</w:t>
            </w:r>
          </w:p>
          <w:p w:rsidR="000C033A" w:rsidRDefault="000C033A" w:rsidP="000C033A">
            <w:pPr>
              <w:tabs>
                <w:tab w:val="left" w:pos="360"/>
              </w:tabs>
              <w:spacing w:before="40" w:line="240" w:lineRule="auto"/>
              <w:ind w:left="232"/>
              <w:rPr>
                <w:rFonts w:ascii="Arial" w:hAnsi="Arial" w:cs="Arial"/>
                <w:i/>
                <w:iCs/>
                <w:sz w:val="20"/>
              </w:rPr>
            </w:pPr>
            <w:r w:rsidRPr="00B77EDC">
              <w:rPr>
                <w:rFonts w:ascii="Arial" w:hAnsi="Arial"/>
                <w:i/>
                <w:sz w:val="20"/>
              </w:rPr>
              <w:t>The number</w:t>
            </w:r>
            <w:r>
              <w:rPr>
                <w:rFonts w:ascii="Arial" w:hAnsi="Arial"/>
                <w:i/>
                <w:sz w:val="20"/>
              </w:rPr>
              <w:t xml:space="preserve"> in each group</w:t>
            </w:r>
            <w:r w:rsidRPr="00B77EDC">
              <w:rPr>
                <w:rFonts w:ascii="Arial" w:hAnsi="Arial"/>
                <w:i/>
                <w:sz w:val="20"/>
              </w:rPr>
              <w:t xml:space="preserve"> can change based on the total number of participants, but should not exceed 6 so there is greater opportunity for all members to actively participate</w:t>
            </w:r>
          </w:p>
          <w:p w:rsidR="000C033A" w:rsidRDefault="000C033A" w:rsidP="000C033A">
            <w:pPr>
              <w:tabs>
                <w:tab w:val="left" w:pos="360"/>
              </w:tabs>
              <w:spacing w:line="240" w:lineRule="auto"/>
              <w:ind w:left="233"/>
              <w:rPr>
                <w:rFonts w:ascii="Arial Italic" w:hAnsi="Arial Italic"/>
                <w:b/>
                <w:sz w:val="20"/>
              </w:rPr>
            </w:pPr>
          </w:p>
          <w:p w:rsidR="000C033A" w:rsidRDefault="000C033A" w:rsidP="000C033A">
            <w:pPr>
              <w:numPr>
                <w:ilvl w:val="0"/>
                <w:numId w:val="19"/>
              </w:numPr>
              <w:spacing w:line="240" w:lineRule="auto"/>
              <w:jc w:val="both"/>
              <w:rPr>
                <w:rFonts w:ascii="Arial" w:hAnsi="Arial"/>
                <w:sz w:val="20"/>
              </w:rPr>
            </w:pPr>
            <w:r>
              <w:rPr>
                <w:rFonts w:ascii="Arial" w:hAnsi="Arial"/>
                <w:sz w:val="20"/>
              </w:rPr>
              <w:t>Split the participants into 5 groups of approximately 5-6 people.</w:t>
            </w:r>
          </w:p>
          <w:p w:rsidR="000C033A" w:rsidRDefault="000C033A" w:rsidP="000C033A">
            <w:pPr>
              <w:tabs>
                <w:tab w:val="left" w:pos="360"/>
              </w:tabs>
              <w:spacing w:line="240" w:lineRule="auto"/>
              <w:ind w:left="233"/>
              <w:rPr>
                <w:rFonts w:ascii="Arial Italic" w:hAnsi="Arial Italic"/>
                <w:sz w:val="20"/>
              </w:rPr>
            </w:pPr>
          </w:p>
          <w:p w:rsidR="000C033A" w:rsidRDefault="000C033A" w:rsidP="000C033A">
            <w:pPr>
              <w:numPr>
                <w:ilvl w:val="0"/>
                <w:numId w:val="19"/>
              </w:numPr>
              <w:spacing w:line="240" w:lineRule="auto"/>
              <w:jc w:val="both"/>
              <w:rPr>
                <w:rFonts w:ascii="Arial" w:hAnsi="Arial"/>
                <w:sz w:val="20"/>
              </w:rPr>
            </w:pPr>
            <w:r>
              <w:rPr>
                <w:rFonts w:ascii="Arial" w:hAnsi="Arial"/>
                <w:sz w:val="20"/>
              </w:rPr>
              <w:t xml:space="preserve">Give each group flip chart paper, markers and ask them to take out </w:t>
            </w:r>
            <w:r w:rsidRPr="00564977">
              <w:rPr>
                <w:rFonts w:ascii="Arial" w:hAnsi="Arial"/>
                <w:b/>
                <w:i/>
                <w:sz w:val="20"/>
              </w:rPr>
              <w:t>Handout 2.1</w:t>
            </w:r>
            <w:r>
              <w:rPr>
                <w:rFonts w:ascii="Arial" w:hAnsi="Arial"/>
                <w:sz w:val="20"/>
              </w:rPr>
              <w:t xml:space="preserve"> from module 2 that summarises the INEE Minimum Standards for Education and the INEE Minimum Standards handbook.</w:t>
            </w:r>
          </w:p>
          <w:p w:rsidR="000C033A" w:rsidRDefault="000C033A" w:rsidP="000C033A">
            <w:pPr>
              <w:tabs>
                <w:tab w:val="left" w:pos="360"/>
              </w:tabs>
              <w:spacing w:line="240" w:lineRule="auto"/>
              <w:ind w:left="233"/>
              <w:rPr>
                <w:rFonts w:ascii="Arial" w:hAnsi="Arial"/>
                <w:sz w:val="20"/>
              </w:rPr>
            </w:pPr>
          </w:p>
          <w:p w:rsidR="000C033A" w:rsidRDefault="000C033A" w:rsidP="000C033A">
            <w:pPr>
              <w:numPr>
                <w:ilvl w:val="0"/>
                <w:numId w:val="19"/>
              </w:numPr>
              <w:spacing w:line="240" w:lineRule="auto"/>
              <w:jc w:val="both"/>
              <w:rPr>
                <w:rFonts w:ascii="Arial" w:hAnsi="Arial"/>
                <w:sz w:val="20"/>
              </w:rPr>
            </w:pPr>
            <w:r>
              <w:rPr>
                <w:rFonts w:ascii="Arial" w:hAnsi="Arial"/>
                <w:sz w:val="20"/>
              </w:rPr>
              <w:t>Assign each group 2 of the INEE Minimum Standards domains so each group can reflect upon the emergency response in 2 different domains.</w:t>
            </w:r>
          </w:p>
          <w:p w:rsidR="000C033A" w:rsidRPr="00740B6E" w:rsidRDefault="000C033A" w:rsidP="000C033A">
            <w:pPr>
              <w:tabs>
                <w:tab w:val="left" w:pos="360"/>
              </w:tabs>
              <w:spacing w:line="240" w:lineRule="auto"/>
              <w:ind w:left="360"/>
              <w:rPr>
                <w:rFonts w:ascii="Arial" w:hAnsi="Arial"/>
                <w:sz w:val="20"/>
                <w:u w:val="single"/>
              </w:rPr>
            </w:pPr>
            <w:r w:rsidRPr="00740B6E">
              <w:rPr>
                <w:rFonts w:ascii="Arial" w:hAnsi="Arial"/>
                <w:sz w:val="20"/>
                <w:u w:val="single"/>
              </w:rPr>
              <w:t>Example:</w:t>
            </w:r>
          </w:p>
          <w:p w:rsidR="000C033A" w:rsidRDefault="000C033A" w:rsidP="000C033A">
            <w:pPr>
              <w:tabs>
                <w:tab w:val="left" w:pos="360"/>
              </w:tabs>
              <w:spacing w:before="40" w:line="240" w:lineRule="auto"/>
              <w:ind w:left="357"/>
              <w:rPr>
                <w:rFonts w:ascii="Arial" w:hAnsi="Arial"/>
                <w:sz w:val="20"/>
              </w:rPr>
            </w:pPr>
            <w:r w:rsidRPr="000C033A">
              <w:rPr>
                <w:rFonts w:ascii="Arial" w:hAnsi="Arial"/>
                <w:b/>
                <w:sz w:val="20"/>
              </w:rPr>
              <w:t>Group 1</w:t>
            </w:r>
            <w:r>
              <w:rPr>
                <w:rFonts w:ascii="Arial" w:hAnsi="Arial"/>
                <w:sz w:val="20"/>
              </w:rPr>
              <w:t>: Foundational Standards and Access and Learning Environment</w:t>
            </w:r>
          </w:p>
          <w:p w:rsidR="000C033A" w:rsidRDefault="000C033A" w:rsidP="000C033A">
            <w:pPr>
              <w:tabs>
                <w:tab w:val="left" w:pos="360"/>
              </w:tabs>
              <w:spacing w:before="40" w:line="240" w:lineRule="auto"/>
              <w:ind w:left="357"/>
              <w:rPr>
                <w:rFonts w:ascii="Arial" w:hAnsi="Arial"/>
                <w:sz w:val="20"/>
              </w:rPr>
            </w:pPr>
            <w:r w:rsidRPr="000C033A">
              <w:rPr>
                <w:rFonts w:ascii="Arial" w:hAnsi="Arial"/>
                <w:b/>
                <w:sz w:val="20"/>
              </w:rPr>
              <w:t>Group 2</w:t>
            </w:r>
            <w:r>
              <w:rPr>
                <w:rFonts w:ascii="Arial" w:hAnsi="Arial"/>
                <w:sz w:val="20"/>
              </w:rPr>
              <w:t>: Access and Learning Environment and Teaching and Learning</w:t>
            </w:r>
          </w:p>
          <w:p w:rsidR="000C033A" w:rsidRDefault="000C033A" w:rsidP="000C033A">
            <w:pPr>
              <w:tabs>
                <w:tab w:val="left" w:pos="360"/>
              </w:tabs>
              <w:spacing w:before="40" w:line="240" w:lineRule="auto"/>
              <w:ind w:left="357"/>
              <w:rPr>
                <w:rFonts w:ascii="Arial" w:hAnsi="Arial"/>
                <w:sz w:val="20"/>
              </w:rPr>
            </w:pPr>
            <w:r w:rsidRPr="000C033A">
              <w:rPr>
                <w:rFonts w:ascii="Arial" w:hAnsi="Arial"/>
                <w:b/>
                <w:sz w:val="20"/>
              </w:rPr>
              <w:t>Group 3</w:t>
            </w:r>
            <w:r>
              <w:rPr>
                <w:rFonts w:ascii="Arial" w:hAnsi="Arial"/>
                <w:sz w:val="20"/>
              </w:rPr>
              <w:t>: Teaching and Learning and Teachers and other Education Personnel</w:t>
            </w:r>
          </w:p>
          <w:p w:rsidR="000C033A" w:rsidRDefault="000C033A" w:rsidP="000C033A">
            <w:pPr>
              <w:tabs>
                <w:tab w:val="left" w:pos="360"/>
              </w:tabs>
              <w:spacing w:before="40" w:line="240" w:lineRule="auto"/>
              <w:ind w:left="357"/>
              <w:rPr>
                <w:rFonts w:ascii="Arial" w:hAnsi="Arial"/>
                <w:sz w:val="20"/>
              </w:rPr>
            </w:pPr>
            <w:r w:rsidRPr="000C033A">
              <w:rPr>
                <w:rFonts w:ascii="Arial" w:hAnsi="Arial"/>
                <w:b/>
                <w:sz w:val="20"/>
              </w:rPr>
              <w:t>Group 4</w:t>
            </w:r>
            <w:r>
              <w:rPr>
                <w:rFonts w:ascii="Arial" w:hAnsi="Arial"/>
                <w:sz w:val="20"/>
              </w:rPr>
              <w:t>: Teachers and other Educational Personnel and Education Policy</w:t>
            </w:r>
          </w:p>
          <w:p w:rsidR="000C033A" w:rsidRDefault="000C033A" w:rsidP="000C033A">
            <w:pPr>
              <w:tabs>
                <w:tab w:val="left" w:pos="360"/>
              </w:tabs>
              <w:spacing w:before="40" w:line="240" w:lineRule="auto"/>
              <w:ind w:left="357"/>
              <w:rPr>
                <w:rFonts w:ascii="Arial" w:hAnsi="Arial"/>
                <w:sz w:val="20"/>
              </w:rPr>
            </w:pPr>
            <w:r w:rsidRPr="000C033A">
              <w:rPr>
                <w:rFonts w:ascii="Arial" w:hAnsi="Arial"/>
                <w:b/>
                <w:sz w:val="20"/>
              </w:rPr>
              <w:t>Group 5</w:t>
            </w:r>
            <w:r>
              <w:rPr>
                <w:rFonts w:ascii="Arial" w:hAnsi="Arial"/>
                <w:sz w:val="20"/>
              </w:rPr>
              <w:t>: Education Policy and Foundational Standards</w:t>
            </w:r>
          </w:p>
          <w:p w:rsidR="000C033A" w:rsidRDefault="000C033A" w:rsidP="000C033A">
            <w:pPr>
              <w:tabs>
                <w:tab w:val="left" w:pos="360"/>
              </w:tabs>
              <w:spacing w:line="240" w:lineRule="auto"/>
              <w:ind w:left="233"/>
              <w:rPr>
                <w:rFonts w:ascii="Arial" w:hAnsi="Arial"/>
                <w:sz w:val="20"/>
              </w:rPr>
            </w:pPr>
          </w:p>
          <w:p w:rsidR="000C033A" w:rsidRDefault="000C033A" w:rsidP="000C033A">
            <w:pPr>
              <w:numPr>
                <w:ilvl w:val="0"/>
                <w:numId w:val="19"/>
              </w:numPr>
              <w:spacing w:line="240" w:lineRule="auto"/>
              <w:jc w:val="both"/>
              <w:rPr>
                <w:rFonts w:ascii="Arial" w:hAnsi="Arial"/>
                <w:sz w:val="20"/>
              </w:rPr>
            </w:pPr>
            <w:r>
              <w:rPr>
                <w:rFonts w:ascii="Arial" w:hAnsi="Arial"/>
                <w:sz w:val="20"/>
              </w:rPr>
              <w:t>Each group should use the INEE Minimum Standards as a framework with which to reflect on lessons learned.</w:t>
            </w:r>
          </w:p>
          <w:p w:rsidR="000C033A" w:rsidRPr="000C033A" w:rsidRDefault="000C033A" w:rsidP="000C033A">
            <w:pPr>
              <w:pStyle w:val="ListParagraph"/>
              <w:numPr>
                <w:ilvl w:val="1"/>
                <w:numId w:val="47"/>
              </w:numPr>
              <w:tabs>
                <w:tab w:val="clear" w:pos="1080"/>
                <w:tab w:val="left" w:pos="360"/>
                <w:tab w:val="num" w:pos="743"/>
              </w:tabs>
              <w:spacing w:line="240" w:lineRule="auto"/>
              <w:ind w:left="743"/>
              <w:rPr>
                <w:rFonts w:ascii="Arial" w:hAnsi="Arial"/>
                <w:sz w:val="20"/>
              </w:rPr>
            </w:pPr>
            <w:r w:rsidRPr="000C033A">
              <w:rPr>
                <w:rFonts w:ascii="Arial" w:hAnsi="Arial"/>
                <w:sz w:val="20"/>
              </w:rPr>
              <w:t>Did the previous emergency response meet the standards in that domain?</w:t>
            </w:r>
          </w:p>
          <w:p w:rsidR="000C033A" w:rsidRPr="000C033A" w:rsidRDefault="000C033A" w:rsidP="000C033A">
            <w:pPr>
              <w:pStyle w:val="ListParagraph"/>
              <w:numPr>
                <w:ilvl w:val="1"/>
                <w:numId w:val="47"/>
              </w:numPr>
              <w:tabs>
                <w:tab w:val="clear" w:pos="1080"/>
                <w:tab w:val="left" w:pos="360"/>
                <w:tab w:val="num" w:pos="743"/>
              </w:tabs>
              <w:spacing w:line="240" w:lineRule="auto"/>
              <w:ind w:left="743"/>
              <w:rPr>
                <w:rFonts w:ascii="Arial" w:hAnsi="Arial"/>
                <w:sz w:val="20"/>
              </w:rPr>
            </w:pPr>
            <w:r w:rsidRPr="000C033A">
              <w:rPr>
                <w:rFonts w:ascii="Arial" w:hAnsi="Arial"/>
                <w:sz w:val="20"/>
              </w:rPr>
              <w:t>If yes, could this be improved upon? How?</w:t>
            </w:r>
          </w:p>
          <w:p w:rsidR="000C033A" w:rsidRPr="000C033A" w:rsidRDefault="000C033A" w:rsidP="000C033A">
            <w:pPr>
              <w:pStyle w:val="ListParagraph"/>
              <w:numPr>
                <w:ilvl w:val="1"/>
                <w:numId w:val="47"/>
              </w:numPr>
              <w:tabs>
                <w:tab w:val="clear" w:pos="1080"/>
                <w:tab w:val="left" w:pos="360"/>
                <w:tab w:val="num" w:pos="743"/>
              </w:tabs>
              <w:spacing w:line="240" w:lineRule="auto"/>
              <w:ind w:left="743"/>
              <w:rPr>
                <w:rFonts w:ascii="Arial" w:hAnsi="Arial"/>
                <w:sz w:val="20"/>
              </w:rPr>
            </w:pPr>
            <w:r w:rsidRPr="000C033A">
              <w:rPr>
                <w:rFonts w:ascii="Arial" w:hAnsi="Arial"/>
                <w:sz w:val="20"/>
              </w:rPr>
              <w:t>If no, do they think it is realistic in the context to reach the standard if there were another emergency? How?</w:t>
            </w:r>
          </w:p>
          <w:p w:rsidR="000C033A" w:rsidRDefault="000C033A" w:rsidP="000C033A">
            <w:pPr>
              <w:widowControl w:val="0"/>
              <w:tabs>
                <w:tab w:val="left" w:pos="20"/>
                <w:tab w:val="left" w:pos="425"/>
                <w:tab w:val="left" w:pos="9648"/>
              </w:tabs>
              <w:autoSpaceDE w:val="0"/>
              <w:autoSpaceDN w:val="0"/>
              <w:adjustRightInd w:val="0"/>
              <w:spacing w:line="240" w:lineRule="auto"/>
              <w:ind w:left="233" w:right="-576"/>
              <w:jc w:val="both"/>
              <w:rPr>
                <w:rFonts w:ascii="Arial" w:eastAsia="Times New Roman" w:hAnsi="Arial" w:cs="Arial"/>
                <w:sz w:val="20"/>
                <w:szCs w:val="20"/>
                <w:lang w:val="en-US"/>
              </w:rPr>
            </w:pPr>
          </w:p>
          <w:p w:rsidR="000C033A" w:rsidRPr="000C033A" w:rsidRDefault="000C033A" w:rsidP="000C033A">
            <w:pPr>
              <w:numPr>
                <w:ilvl w:val="0"/>
                <w:numId w:val="19"/>
              </w:numPr>
              <w:spacing w:line="240" w:lineRule="auto"/>
              <w:jc w:val="both"/>
              <w:rPr>
                <w:rFonts w:ascii="Arial" w:eastAsia="Times New Roman" w:hAnsi="Arial" w:cs="Arial"/>
                <w:sz w:val="20"/>
                <w:szCs w:val="20"/>
                <w:lang w:val="en-US"/>
              </w:rPr>
            </w:pPr>
            <w:r w:rsidRPr="000C033A">
              <w:rPr>
                <w:rFonts w:ascii="Arial" w:eastAsia="Times New Roman" w:hAnsi="Arial" w:cs="Arial"/>
                <w:sz w:val="20"/>
                <w:szCs w:val="20"/>
                <w:lang w:val="en-US"/>
              </w:rPr>
              <w:t xml:space="preserve">The </w:t>
            </w:r>
            <w:r w:rsidRPr="000C033A">
              <w:rPr>
                <w:rFonts w:ascii="Arial" w:hAnsi="Arial"/>
                <w:sz w:val="20"/>
              </w:rPr>
              <w:t>instructions</w:t>
            </w:r>
            <w:r w:rsidRPr="000C033A">
              <w:rPr>
                <w:rFonts w:ascii="Arial" w:eastAsia="Times New Roman" w:hAnsi="Arial" w:cs="Arial"/>
                <w:sz w:val="20"/>
                <w:szCs w:val="20"/>
                <w:lang w:val="en-US"/>
              </w:rPr>
              <w:t xml:space="preserve"> and setting up the groups may take about </w:t>
            </w:r>
            <w:r w:rsidRPr="000C033A">
              <w:rPr>
                <w:rFonts w:ascii="Arial" w:eastAsia="Times New Roman" w:hAnsi="Arial" w:cs="Arial"/>
                <w:b/>
                <w:i/>
                <w:sz w:val="20"/>
                <w:szCs w:val="20"/>
                <w:lang w:val="en-US"/>
              </w:rPr>
              <w:t>10 minutes</w:t>
            </w:r>
            <w:r w:rsidRPr="000C033A">
              <w:rPr>
                <w:rFonts w:ascii="Arial" w:eastAsia="Times New Roman" w:hAnsi="Arial" w:cs="Arial"/>
                <w:sz w:val="20"/>
                <w:szCs w:val="20"/>
                <w:lang w:val="en-US"/>
              </w:rPr>
              <w:t>.</w:t>
            </w:r>
            <w:r>
              <w:rPr>
                <w:rFonts w:ascii="Arial" w:eastAsia="Times New Roman" w:hAnsi="Arial" w:cs="Arial"/>
                <w:sz w:val="20"/>
                <w:szCs w:val="20"/>
                <w:lang w:val="en-US"/>
              </w:rPr>
              <w:t xml:space="preserve"> </w:t>
            </w:r>
            <w:r w:rsidRPr="000C033A">
              <w:rPr>
                <w:rFonts w:ascii="Arial" w:eastAsia="Times New Roman" w:hAnsi="Arial" w:cs="Arial"/>
                <w:sz w:val="20"/>
                <w:szCs w:val="20"/>
                <w:lang w:val="en-US"/>
              </w:rPr>
              <w:t xml:space="preserve">So, the groups will have about </w:t>
            </w:r>
            <w:r w:rsidRPr="000C033A">
              <w:rPr>
                <w:rFonts w:ascii="Arial" w:eastAsia="Times New Roman" w:hAnsi="Arial" w:cs="Arial"/>
                <w:b/>
                <w:i/>
                <w:sz w:val="20"/>
                <w:szCs w:val="20"/>
                <w:lang w:val="en-US"/>
              </w:rPr>
              <w:t>60 minutes</w:t>
            </w:r>
            <w:r w:rsidRPr="000C033A">
              <w:rPr>
                <w:rFonts w:ascii="Arial" w:eastAsia="Times New Roman" w:hAnsi="Arial" w:cs="Arial"/>
                <w:sz w:val="20"/>
                <w:szCs w:val="20"/>
                <w:lang w:val="en-US"/>
              </w:rPr>
              <w:t xml:space="preserve"> to work in their group.</w:t>
            </w:r>
          </w:p>
          <w:p w:rsidR="000C033A" w:rsidRDefault="000C033A" w:rsidP="000C033A">
            <w:pPr>
              <w:tabs>
                <w:tab w:val="left" w:pos="360"/>
              </w:tabs>
              <w:spacing w:line="240" w:lineRule="auto"/>
              <w:ind w:left="233"/>
              <w:rPr>
                <w:rFonts w:ascii="Arial" w:eastAsia="Times New Roman" w:hAnsi="Arial" w:cs="Arial"/>
                <w:sz w:val="20"/>
                <w:szCs w:val="20"/>
                <w:lang w:val="en-US"/>
              </w:rPr>
            </w:pPr>
          </w:p>
          <w:p w:rsidR="000C033A" w:rsidRDefault="000C033A" w:rsidP="000C033A">
            <w:pPr>
              <w:numPr>
                <w:ilvl w:val="0"/>
                <w:numId w:val="19"/>
              </w:numPr>
              <w:spacing w:line="240" w:lineRule="auto"/>
              <w:jc w:val="both"/>
              <w:rPr>
                <w:rFonts w:ascii="Arial Italic" w:hAnsi="Arial Italic"/>
                <w:sz w:val="20"/>
              </w:rPr>
            </w:pPr>
            <w:r w:rsidRPr="000C033A">
              <w:rPr>
                <w:rFonts w:ascii="Arial" w:hAnsi="Arial"/>
                <w:sz w:val="20"/>
              </w:rPr>
              <w:t>After</w:t>
            </w:r>
            <w:r>
              <w:rPr>
                <w:rFonts w:ascii="Arial" w:eastAsia="Times New Roman" w:hAnsi="Arial" w:cs="Arial"/>
                <w:sz w:val="20"/>
                <w:szCs w:val="20"/>
                <w:lang w:val="en-US"/>
              </w:rPr>
              <w:t xml:space="preserve"> each group is finished, the</w:t>
            </w:r>
            <w:r w:rsidR="00124494">
              <w:rPr>
                <w:rFonts w:ascii="Arial" w:eastAsia="Times New Roman" w:hAnsi="Arial" w:cs="Arial"/>
                <w:sz w:val="20"/>
                <w:szCs w:val="20"/>
                <w:lang w:val="en-US"/>
              </w:rPr>
              <w:t>y</w:t>
            </w:r>
            <w:r>
              <w:rPr>
                <w:rFonts w:ascii="Arial" w:eastAsia="Times New Roman" w:hAnsi="Arial" w:cs="Arial"/>
                <w:sz w:val="20"/>
                <w:szCs w:val="20"/>
                <w:lang w:val="en-US"/>
              </w:rPr>
              <w:t xml:space="preserve"> should put their flip chart paper on the wall for other groups to see and provide comments through a </w:t>
            </w:r>
            <w:r>
              <w:rPr>
                <w:rFonts w:ascii="Arial" w:eastAsia="Times New Roman" w:hAnsi="Arial" w:cs="Arial"/>
                <w:b/>
                <w:i/>
                <w:sz w:val="20"/>
                <w:szCs w:val="20"/>
                <w:lang w:val="en-US"/>
              </w:rPr>
              <w:t>2</w:t>
            </w:r>
            <w:r w:rsidRPr="00A26835">
              <w:rPr>
                <w:rFonts w:ascii="Arial" w:eastAsia="Times New Roman" w:hAnsi="Arial" w:cs="Arial"/>
                <w:b/>
                <w:i/>
                <w:sz w:val="20"/>
                <w:szCs w:val="20"/>
                <w:lang w:val="en-US"/>
              </w:rPr>
              <w:t>0 minute</w:t>
            </w:r>
            <w:r>
              <w:rPr>
                <w:rFonts w:ascii="Arial" w:eastAsia="Times New Roman" w:hAnsi="Arial" w:cs="Arial"/>
                <w:sz w:val="20"/>
                <w:szCs w:val="20"/>
                <w:lang w:val="en-US"/>
              </w:rPr>
              <w:t xml:space="preserve"> Gallery Walk.  The Gallery Walk is also an opportunity for people from other groups to add to any lessons learned that are not already reflected in the flip charts.</w:t>
            </w:r>
          </w:p>
          <w:p w:rsidR="000C033A" w:rsidRPr="00EB6E7C" w:rsidRDefault="000C033A" w:rsidP="000C033A">
            <w:pPr>
              <w:spacing w:before="60" w:line="240" w:lineRule="auto"/>
              <w:ind w:left="85"/>
              <w:jc w:val="both"/>
              <w:rPr>
                <w:rFonts w:ascii="Arial" w:hAnsi="Arial" w:cs="Arial"/>
                <w:sz w:val="20"/>
              </w:rPr>
            </w:pPr>
          </w:p>
        </w:tc>
      </w:tr>
    </w:tbl>
    <w:p w:rsidR="00372FAA" w:rsidRPr="006D49F6" w:rsidRDefault="00372FAA" w:rsidP="006D49F6">
      <w:pPr>
        <w:spacing w:line="240" w:lineRule="auto"/>
        <w:rPr>
          <w:rFonts w:ascii="Arial" w:hAnsi="Arial" w:cs="Arial"/>
          <w:sz w:val="4"/>
          <w:szCs w:val="4"/>
        </w:rPr>
      </w:pPr>
    </w:p>
    <w:p w:rsidR="002733AD" w:rsidRPr="00EB6E7C" w:rsidRDefault="002C7330" w:rsidP="0093742D">
      <w:pPr>
        <w:pageBreakBefore/>
        <w:pBdr>
          <w:top w:val="single" w:sz="4" w:space="1" w:color="auto"/>
          <w:bottom w:val="single" w:sz="4" w:space="1" w:color="auto"/>
        </w:pBdr>
        <w:spacing w:after="120"/>
      </w:pPr>
      <w:r>
        <w:rPr>
          <w:rFonts w:ascii="Arial" w:hAnsi="Arial" w:cs="Arial"/>
          <w:b/>
          <w:sz w:val="28"/>
          <w:szCs w:val="28"/>
        </w:rPr>
        <w:lastRenderedPageBreak/>
        <w:t xml:space="preserve">3. </w:t>
      </w:r>
      <w:r w:rsidR="00365B03">
        <w:rPr>
          <w:rFonts w:ascii="Arial" w:hAnsi="Arial" w:cs="Arial"/>
          <w:b/>
          <w:sz w:val="28"/>
          <w:szCs w:val="28"/>
        </w:rPr>
        <w:t xml:space="preserve"> </w:t>
      </w:r>
      <w:r w:rsidR="009D0900">
        <w:rPr>
          <w:rFonts w:ascii="Arial" w:hAnsi="Arial" w:cs="Arial"/>
          <w:b/>
          <w:sz w:val="28"/>
          <w:szCs w:val="28"/>
        </w:rPr>
        <w:t>Exercise: Developing a Contingency Plan</w:t>
      </w:r>
    </w:p>
    <w:p w:rsidR="002733AD" w:rsidRPr="00EB6E7C" w:rsidRDefault="009D0900" w:rsidP="00C87842">
      <w:pPr>
        <w:spacing w:before="120" w:after="120"/>
        <w:rPr>
          <w:rFonts w:ascii="Arial" w:hAnsi="Arial" w:cs="Arial"/>
          <w:b/>
          <w:sz w:val="22"/>
          <w:szCs w:val="22"/>
        </w:rPr>
      </w:pPr>
      <w:r>
        <w:rPr>
          <w:rFonts w:ascii="Arial" w:hAnsi="Arial" w:cs="Arial"/>
          <w:b/>
          <w:sz w:val="22"/>
          <w:szCs w:val="22"/>
        </w:rPr>
        <w:t>2 hours 30</w:t>
      </w:r>
      <w:r w:rsidR="002733AD" w:rsidRPr="00EB6E7C">
        <w:rPr>
          <w:rFonts w:ascii="Arial" w:hAnsi="Arial" w:cs="Arial"/>
          <w:b/>
          <w:sz w:val="22"/>
          <w:szCs w:val="22"/>
        </w:rPr>
        <w:t xml:space="preserve"> minutes</w:t>
      </w:r>
    </w:p>
    <w:tbl>
      <w:tblPr>
        <w:tblW w:w="9915" w:type="dxa"/>
        <w:jc w:val="center"/>
        <w:tblInd w:w="93" w:type="dxa"/>
        <w:tblBorders>
          <w:bottom w:val="single" w:sz="4" w:space="0" w:color="auto"/>
        </w:tblBorders>
        <w:tblLook w:val="0000"/>
      </w:tblPr>
      <w:tblGrid>
        <w:gridCol w:w="2605"/>
        <w:gridCol w:w="7310"/>
      </w:tblGrid>
      <w:tr w:rsidR="002733AD" w:rsidRPr="00EB6E7C" w:rsidTr="00352DDA">
        <w:trPr>
          <w:trHeight w:val="255"/>
          <w:jc w:val="center"/>
        </w:trPr>
        <w:tc>
          <w:tcPr>
            <w:tcW w:w="2605" w:type="dxa"/>
            <w:tcBorders>
              <w:bottom w:val="nil"/>
            </w:tcBorders>
            <w:shd w:val="clear" w:color="auto" w:fill="auto"/>
            <w:noWrap/>
          </w:tcPr>
          <w:p w:rsidR="002733AD" w:rsidRPr="003D4A10" w:rsidRDefault="002733AD" w:rsidP="003D4A10">
            <w:pPr>
              <w:rPr>
                <w:sz w:val="16"/>
                <w:szCs w:val="16"/>
              </w:rPr>
            </w:pPr>
          </w:p>
          <w:p w:rsidR="002733AD" w:rsidRPr="003D4A10" w:rsidRDefault="00356802" w:rsidP="003D4A10">
            <w:pPr>
              <w:rPr>
                <w:sz w:val="16"/>
                <w:szCs w:val="16"/>
              </w:rPr>
            </w:pPr>
            <w:r>
              <w:rPr>
                <w:noProof/>
                <w:sz w:val="16"/>
                <w:szCs w:val="16"/>
                <w:lang w:eastAsia="en-GB"/>
              </w:rPr>
              <w:drawing>
                <wp:inline distT="0" distB="0" distL="0" distR="0">
                  <wp:extent cx="1399821" cy="1049866"/>
                  <wp:effectExtent l="19050" t="19050" r="9879" b="16934"/>
                  <wp:docPr id="2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1402749" cy="1052062"/>
                          </a:xfrm>
                          <a:prstGeom prst="rect">
                            <a:avLst/>
                          </a:prstGeom>
                          <a:noFill/>
                          <a:ln>
                            <a:solidFill>
                              <a:schemeClr val="accent1"/>
                            </a:solidFill>
                          </a:ln>
                        </pic:spPr>
                      </pic:pic>
                    </a:graphicData>
                  </a:graphic>
                </wp:inline>
              </w:drawing>
            </w:r>
          </w:p>
          <w:p w:rsidR="002733AD" w:rsidRPr="003D4A10" w:rsidRDefault="002733AD" w:rsidP="003D4A10">
            <w:pPr>
              <w:rPr>
                <w:sz w:val="16"/>
                <w:szCs w:val="16"/>
              </w:rPr>
            </w:pPr>
          </w:p>
          <w:p w:rsidR="002733AD" w:rsidRPr="003D4A10" w:rsidRDefault="00356802" w:rsidP="003D4A10">
            <w:pPr>
              <w:rPr>
                <w:sz w:val="16"/>
                <w:szCs w:val="16"/>
              </w:rPr>
            </w:pPr>
            <w:r>
              <w:rPr>
                <w:noProof/>
                <w:sz w:val="16"/>
                <w:szCs w:val="16"/>
                <w:lang w:eastAsia="en-GB"/>
              </w:rPr>
              <w:drawing>
                <wp:inline distT="0" distB="0" distL="0" distR="0">
                  <wp:extent cx="1411110" cy="1058333"/>
                  <wp:effectExtent l="19050" t="19050" r="17640" b="27517"/>
                  <wp:docPr id="2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1411910" cy="1058933"/>
                          </a:xfrm>
                          <a:prstGeom prst="rect">
                            <a:avLst/>
                          </a:prstGeom>
                          <a:noFill/>
                          <a:ln>
                            <a:solidFill>
                              <a:schemeClr val="accent1"/>
                            </a:solidFill>
                          </a:ln>
                        </pic:spPr>
                      </pic:pic>
                    </a:graphicData>
                  </a:graphic>
                </wp:inline>
              </w:drawing>
            </w:r>
          </w:p>
          <w:p w:rsidR="002733AD" w:rsidRDefault="002733AD" w:rsidP="003D4A10">
            <w:pPr>
              <w:rPr>
                <w:sz w:val="16"/>
                <w:szCs w:val="16"/>
              </w:rPr>
            </w:pPr>
          </w:p>
          <w:p w:rsidR="008D06C1" w:rsidRDefault="008D06C1" w:rsidP="003D4A10">
            <w:pPr>
              <w:rPr>
                <w:sz w:val="16"/>
                <w:szCs w:val="16"/>
              </w:rPr>
            </w:pPr>
          </w:p>
          <w:p w:rsidR="003D4A10" w:rsidRDefault="003D4A10" w:rsidP="003D4A10">
            <w:pPr>
              <w:rPr>
                <w:sz w:val="16"/>
                <w:szCs w:val="16"/>
              </w:rPr>
            </w:pPr>
          </w:p>
          <w:p w:rsidR="003D4A10" w:rsidRDefault="003D4A10" w:rsidP="003D4A10">
            <w:pPr>
              <w:rPr>
                <w:sz w:val="16"/>
                <w:szCs w:val="16"/>
              </w:rPr>
            </w:pPr>
          </w:p>
          <w:p w:rsidR="003D4A10" w:rsidRDefault="003D4A10" w:rsidP="003D4A10">
            <w:pPr>
              <w:rPr>
                <w:sz w:val="16"/>
                <w:szCs w:val="16"/>
              </w:rPr>
            </w:pPr>
          </w:p>
          <w:p w:rsidR="003D4A10" w:rsidRDefault="003D4A10" w:rsidP="003D4A10">
            <w:pPr>
              <w:rPr>
                <w:sz w:val="16"/>
                <w:szCs w:val="16"/>
              </w:rPr>
            </w:pPr>
          </w:p>
          <w:p w:rsidR="003D4A10" w:rsidRDefault="003D4A10" w:rsidP="003D4A10">
            <w:pPr>
              <w:rPr>
                <w:sz w:val="16"/>
                <w:szCs w:val="16"/>
              </w:rPr>
            </w:pPr>
          </w:p>
          <w:p w:rsidR="006B3064" w:rsidRPr="003D4A10" w:rsidRDefault="006B3064" w:rsidP="003D4A10">
            <w:pPr>
              <w:rPr>
                <w:sz w:val="16"/>
                <w:szCs w:val="16"/>
              </w:rPr>
            </w:pPr>
          </w:p>
          <w:p w:rsidR="002733AD" w:rsidRPr="003D4A10" w:rsidRDefault="002733AD" w:rsidP="006B3064">
            <w:pPr>
              <w:rPr>
                <w:rFonts w:ascii="Arial" w:eastAsia="Times New Roman" w:hAnsi="Arial" w:cs="Arial"/>
                <w:sz w:val="16"/>
                <w:szCs w:val="16"/>
              </w:rPr>
            </w:pPr>
          </w:p>
        </w:tc>
        <w:tc>
          <w:tcPr>
            <w:tcW w:w="7310" w:type="dxa"/>
            <w:tcBorders>
              <w:bottom w:val="nil"/>
            </w:tcBorders>
            <w:shd w:val="clear" w:color="auto" w:fill="auto"/>
            <w:noWrap/>
          </w:tcPr>
          <w:p w:rsidR="004F45F6" w:rsidRPr="000F124D" w:rsidRDefault="002733AD" w:rsidP="004F45F6">
            <w:pPr>
              <w:tabs>
                <w:tab w:val="left" w:pos="360"/>
              </w:tabs>
              <w:spacing w:line="240" w:lineRule="auto"/>
              <w:ind w:left="233"/>
              <w:rPr>
                <w:rFonts w:ascii="Arial Italic" w:hAnsi="Arial Italic"/>
                <w:sz w:val="20"/>
              </w:rPr>
            </w:pPr>
            <w:r w:rsidRPr="00365B03">
              <w:rPr>
                <w:rFonts w:ascii="Arial" w:hAnsi="Arial" w:cs="Arial"/>
                <w:b/>
                <w:i/>
                <w:iCs/>
                <w:sz w:val="20"/>
              </w:rPr>
              <w:t>Note to Facilitator</w:t>
            </w:r>
            <w:r w:rsidRPr="00EB6E7C">
              <w:rPr>
                <w:rFonts w:ascii="Arial" w:hAnsi="Arial" w:cs="Arial"/>
                <w:i/>
                <w:iCs/>
                <w:sz w:val="20"/>
              </w:rPr>
              <w:t xml:space="preserve">: </w:t>
            </w:r>
            <w:r w:rsidR="004F45F6">
              <w:rPr>
                <w:rFonts w:ascii="Arial Italic" w:hAnsi="Arial Italic"/>
                <w:sz w:val="20"/>
              </w:rPr>
              <w:t>This exercise should ideally be done for each of the possible emergency scenarios.  However, if you have identified 4 emergency scenarios and do not have the time to develop a plan for each scenario or these emergencies are not very likely, you can start by doing this exercise for the most likely emergency scenario.  Some of the preparedness and response activities will be the same for the various emergency scenarios so even developing a contingency plan for 1 scenario is taking steps toward preparing for other scenarios.</w:t>
            </w:r>
          </w:p>
          <w:p w:rsidR="004F45F6" w:rsidRPr="00D33D1F" w:rsidRDefault="004F45F6" w:rsidP="004F45F6">
            <w:pPr>
              <w:tabs>
                <w:tab w:val="left" w:pos="360"/>
              </w:tabs>
              <w:spacing w:before="40" w:line="240" w:lineRule="auto"/>
              <w:ind w:left="232"/>
              <w:rPr>
                <w:rFonts w:ascii="Arial Italic" w:hAnsi="Arial Italic"/>
                <w:sz w:val="20"/>
              </w:rPr>
            </w:pPr>
            <w:r w:rsidRPr="00D33D1F">
              <w:rPr>
                <w:rFonts w:ascii="Arial Italic" w:hAnsi="Arial Italic"/>
                <w:sz w:val="20"/>
              </w:rPr>
              <w:t>This exercise can be done in 2 ways. If the group is large (such as for a national contingency planning process), you can split the participants into groups as shown below. If the group is small (such as for a local contingency planning process), they can all work together on all of the components.</w:t>
            </w:r>
          </w:p>
          <w:p w:rsidR="004F45F6" w:rsidRDefault="004F45F6" w:rsidP="004F45F6">
            <w:pPr>
              <w:numPr>
                <w:ilvl w:val="0"/>
                <w:numId w:val="6"/>
              </w:numPr>
              <w:spacing w:before="120" w:line="240" w:lineRule="auto"/>
              <w:rPr>
                <w:rFonts w:ascii="Arial" w:hAnsi="Arial"/>
                <w:sz w:val="20"/>
              </w:rPr>
            </w:pPr>
            <w:r>
              <w:rPr>
                <w:rFonts w:ascii="Arial" w:hAnsi="Arial"/>
                <w:sz w:val="20"/>
              </w:rPr>
              <w:t xml:space="preserve">Split the participants into 6 groups based on the following categories: </w:t>
            </w:r>
          </w:p>
          <w:p w:rsidR="004F45F6" w:rsidRDefault="004F45F6" w:rsidP="004F45F6">
            <w:pPr>
              <w:tabs>
                <w:tab w:val="left" w:pos="360"/>
              </w:tabs>
              <w:spacing w:before="40" w:line="240" w:lineRule="auto"/>
              <w:ind w:left="357"/>
              <w:rPr>
                <w:rFonts w:ascii="Arial" w:hAnsi="Arial"/>
                <w:sz w:val="20"/>
              </w:rPr>
            </w:pPr>
            <w:r w:rsidRPr="004F45F6">
              <w:rPr>
                <w:rFonts w:ascii="Arial" w:hAnsi="Arial"/>
                <w:b/>
                <w:sz w:val="20"/>
              </w:rPr>
              <w:t>Group 1</w:t>
            </w:r>
            <w:r w:rsidRPr="004F45F6">
              <w:rPr>
                <w:rFonts w:ascii="Arial" w:hAnsi="Arial"/>
                <w:sz w:val="20"/>
              </w:rPr>
              <w:t>:</w:t>
            </w:r>
            <w:r>
              <w:rPr>
                <w:rFonts w:ascii="Arial" w:hAnsi="Arial"/>
                <w:sz w:val="20"/>
              </w:rPr>
              <w:t xml:space="preserve">  Assessment, Monitoring, Evaluation and Information Management</w:t>
            </w:r>
          </w:p>
          <w:p w:rsidR="004F45F6" w:rsidRPr="004F45F6" w:rsidRDefault="004F45F6" w:rsidP="004F45F6">
            <w:pPr>
              <w:tabs>
                <w:tab w:val="left" w:pos="360"/>
              </w:tabs>
              <w:spacing w:before="40" w:line="240" w:lineRule="auto"/>
              <w:ind w:left="357"/>
              <w:rPr>
                <w:rFonts w:ascii="Arial" w:hAnsi="Arial"/>
                <w:sz w:val="20"/>
              </w:rPr>
            </w:pPr>
            <w:r w:rsidRPr="004F45F6">
              <w:rPr>
                <w:rFonts w:ascii="Arial" w:hAnsi="Arial"/>
                <w:b/>
                <w:sz w:val="20"/>
              </w:rPr>
              <w:t>Group 2</w:t>
            </w:r>
            <w:r w:rsidRPr="004F45F6">
              <w:rPr>
                <w:rFonts w:ascii="Arial" w:hAnsi="Arial"/>
                <w:sz w:val="20"/>
              </w:rPr>
              <w:t xml:space="preserve">:  Cluster coordination/management and Human Resources </w:t>
            </w:r>
          </w:p>
          <w:p w:rsidR="004F45F6" w:rsidRPr="004F45F6" w:rsidRDefault="004F45F6" w:rsidP="004F45F6">
            <w:pPr>
              <w:tabs>
                <w:tab w:val="left" w:pos="360"/>
              </w:tabs>
              <w:spacing w:before="40" w:line="240" w:lineRule="auto"/>
              <w:ind w:left="357"/>
              <w:rPr>
                <w:rFonts w:ascii="Arial" w:hAnsi="Arial"/>
                <w:sz w:val="20"/>
              </w:rPr>
            </w:pPr>
            <w:r w:rsidRPr="004F45F6">
              <w:rPr>
                <w:rFonts w:ascii="Arial" w:hAnsi="Arial"/>
                <w:b/>
                <w:sz w:val="20"/>
              </w:rPr>
              <w:t>Group 3</w:t>
            </w:r>
            <w:r w:rsidRPr="004F45F6">
              <w:rPr>
                <w:rFonts w:ascii="Arial" w:hAnsi="Arial"/>
                <w:sz w:val="20"/>
              </w:rPr>
              <w:t>:  Teacher Recruitment, Mobilisation, Training, Compensation</w:t>
            </w:r>
          </w:p>
          <w:p w:rsidR="004F45F6" w:rsidRPr="004F45F6" w:rsidRDefault="004F45F6" w:rsidP="004F45F6">
            <w:pPr>
              <w:tabs>
                <w:tab w:val="left" w:pos="360"/>
              </w:tabs>
              <w:spacing w:before="40" w:line="240" w:lineRule="auto"/>
              <w:ind w:left="357"/>
              <w:rPr>
                <w:rFonts w:ascii="Arial" w:hAnsi="Arial"/>
                <w:sz w:val="20"/>
              </w:rPr>
            </w:pPr>
            <w:r w:rsidRPr="004F45F6">
              <w:rPr>
                <w:rFonts w:ascii="Arial" w:hAnsi="Arial"/>
                <w:b/>
                <w:sz w:val="20"/>
              </w:rPr>
              <w:t>Group 4</w:t>
            </w:r>
            <w:r w:rsidRPr="004F45F6">
              <w:rPr>
                <w:rFonts w:ascii="Arial" w:hAnsi="Arial"/>
                <w:sz w:val="20"/>
              </w:rPr>
              <w:t>:  Temporary Learning Spaces and Psychosocial support strategies</w:t>
            </w:r>
          </w:p>
          <w:p w:rsidR="004F45F6" w:rsidRPr="004F45F6" w:rsidRDefault="004F45F6" w:rsidP="004F45F6">
            <w:pPr>
              <w:tabs>
                <w:tab w:val="left" w:pos="360"/>
              </w:tabs>
              <w:spacing w:before="40" w:line="240" w:lineRule="auto"/>
              <w:ind w:left="357"/>
              <w:rPr>
                <w:rFonts w:ascii="Arial" w:hAnsi="Arial"/>
                <w:sz w:val="20"/>
              </w:rPr>
            </w:pPr>
            <w:r w:rsidRPr="004F45F6">
              <w:rPr>
                <w:rFonts w:ascii="Arial" w:hAnsi="Arial"/>
                <w:b/>
                <w:sz w:val="20"/>
              </w:rPr>
              <w:t>Group 5</w:t>
            </w:r>
            <w:r w:rsidRPr="004F45F6">
              <w:rPr>
                <w:rFonts w:ascii="Arial" w:hAnsi="Arial"/>
                <w:sz w:val="20"/>
              </w:rPr>
              <w:t>:  Education supplies and logistics and Emergency Education Curricula (formal and non-formal education)</w:t>
            </w:r>
          </w:p>
          <w:p w:rsidR="004F45F6" w:rsidRPr="004F45F6" w:rsidRDefault="004F45F6" w:rsidP="004F45F6">
            <w:pPr>
              <w:tabs>
                <w:tab w:val="left" w:pos="360"/>
              </w:tabs>
              <w:spacing w:before="40" w:line="240" w:lineRule="auto"/>
              <w:ind w:left="357"/>
              <w:rPr>
                <w:rFonts w:ascii="Arial" w:hAnsi="Arial"/>
                <w:sz w:val="20"/>
              </w:rPr>
            </w:pPr>
            <w:r w:rsidRPr="004F45F6">
              <w:rPr>
                <w:rFonts w:ascii="Arial" w:hAnsi="Arial"/>
                <w:b/>
                <w:sz w:val="20"/>
              </w:rPr>
              <w:t>Group 6</w:t>
            </w:r>
            <w:r w:rsidRPr="004F45F6">
              <w:rPr>
                <w:rFonts w:ascii="Arial" w:hAnsi="Arial"/>
                <w:sz w:val="20"/>
              </w:rPr>
              <w:t>:  Rehabilitation and Construction of schools and Resumption of formal education</w:t>
            </w:r>
          </w:p>
          <w:p w:rsidR="004F45F6" w:rsidRPr="001640A0" w:rsidRDefault="00082B56" w:rsidP="004F45F6">
            <w:pPr>
              <w:numPr>
                <w:ilvl w:val="0"/>
                <w:numId w:val="6"/>
              </w:numPr>
              <w:spacing w:before="120" w:line="240" w:lineRule="auto"/>
              <w:rPr>
                <w:rFonts w:ascii="Arial" w:hAnsi="Arial"/>
                <w:sz w:val="20"/>
              </w:rPr>
            </w:pPr>
            <w:r>
              <w:rPr>
                <w:rFonts w:ascii="Arial" w:hAnsi="Arial"/>
                <w:sz w:val="20"/>
              </w:rPr>
              <w:t>Try to allow people the choice of which group to join, but ensure that groups are not too small or large</w:t>
            </w:r>
            <w:r w:rsidR="004F45F6">
              <w:rPr>
                <w:rFonts w:ascii="Arial" w:hAnsi="Arial"/>
                <w:sz w:val="20"/>
              </w:rPr>
              <w:t>.</w:t>
            </w:r>
          </w:p>
          <w:p w:rsidR="004F45F6" w:rsidRPr="004F45F6" w:rsidRDefault="004F45F6" w:rsidP="00124494">
            <w:pPr>
              <w:tabs>
                <w:tab w:val="left" w:pos="360"/>
              </w:tabs>
              <w:spacing w:before="120" w:line="240" w:lineRule="auto"/>
              <w:ind w:left="357"/>
              <w:rPr>
                <w:rFonts w:ascii="Arial" w:hAnsi="Arial"/>
                <w:i/>
                <w:sz w:val="20"/>
              </w:rPr>
            </w:pPr>
            <w:r w:rsidRPr="004F45F6">
              <w:rPr>
                <w:rFonts w:ascii="Arial" w:hAnsi="Arial"/>
                <w:b/>
                <w:i/>
                <w:sz w:val="20"/>
              </w:rPr>
              <w:t>Note to Facilitator</w:t>
            </w:r>
            <w:r w:rsidRPr="004F45F6">
              <w:rPr>
                <w:rFonts w:ascii="Arial" w:hAnsi="Arial"/>
                <w:i/>
                <w:sz w:val="20"/>
              </w:rPr>
              <w:t xml:space="preserve">: The above-mentioned groups are examples of groupings based on the key education in emergencies technical components.  You can change these based on your specific context or if you anticipate a particular action that is not included above.  The number of people per group will vary depending on the overall size of the group. If the contingency planning is happening at the national level, there may be </w:t>
            </w:r>
            <w:r w:rsidR="00082B56">
              <w:rPr>
                <w:rFonts w:ascii="Arial" w:hAnsi="Arial"/>
                <w:i/>
                <w:sz w:val="20"/>
              </w:rPr>
              <w:t xml:space="preserve"> as many as </w:t>
            </w:r>
            <w:r w:rsidRPr="004F45F6">
              <w:rPr>
                <w:rFonts w:ascii="Arial" w:hAnsi="Arial"/>
                <w:i/>
                <w:sz w:val="20"/>
              </w:rPr>
              <w:t xml:space="preserve">50-60 people, </w:t>
            </w:r>
            <w:r w:rsidR="00082B56">
              <w:rPr>
                <w:rFonts w:ascii="Arial" w:hAnsi="Arial"/>
                <w:i/>
                <w:sz w:val="20"/>
              </w:rPr>
              <w:t xml:space="preserve">whereas </w:t>
            </w:r>
            <w:r w:rsidRPr="004F45F6">
              <w:rPr>
                <w:rFonts w:ascii="Arial" w:hAnsi="Arial"/>
                <w:i/>
                <w:sz w:val="20"/>
              </w:rPr>
              <w:t xml:space="preserve">at </w:t>
            </w:r>
            <w:r w:rsidR="00082B56">
              <w:rPr>
                <w:rFonts w:ascii="Arial" w:hAnsi="Arial"/>
                <w:i/>
                <w:sz w:val="20"/>
              </w:rPr>
              <w:t>local level</w:t>
            </w:r>
            <w:r w:rsidRPr="004F45F6">
              <w:rPr>
                <w:rFonts w:ascii="Arial" w:hAnsi="Arial"/>
                <w:i/>
                <w:sz w:val="20"/>
              </w:rPr>
              <w:t xml:space="preserve"> there </w:t>
            </w:r>
            <w:r w:rsidR="00082B56">
              <w:rPr>
                <w:rFonts w:ascii="Arial" w:hAnsi="Arial"/>
                <w:i/>
                <w:sz w:val="20"/>
              </w:rPr>
              <w:t>will be fewer</w:t>
            </w:r>
          </w:p>
          <w:p w:rsidR="003D4A10" w:rsidRDefault="004F45F6" w:rsidP="004F45F6">
            <w:pPr>
              <w:pStyle w:val="ListParagraph"/>
              <w:numPr>
                <w:ilvl w:val="0"/>
                <w:numId w:val="6"/>
              </w:numPr>
              <w:spacing w:before="120" w:line="240" w:lineRule="auto"/>
              <w:rPr>
                <w:rFonts w:ascii="Arial" w:hAnsi="Arial"/>
                <w:sz w:val="20"/>
              </w:rPr>
            </w:pPr>
            <w:r w:rsidRPr="004F45F6">
              <w:rPr>
                <w:rFonts w:ascii="Arial" w:hAnsi="Arial"/>
                <w:sz w:val="20"/>
              </w:rPr>
              <w:t>Give each group flip chart paper and markers and the Contingency planning worksheet.  They should use the format provided in the worksheet (</w:t>
            </w:r>
            <w:r w:rsidR="00124494" w:rsidRPr="00124494">
              <w:rPr>
                <w:rFonts w:ascii="Arial" w:hAnsi="Arial"/>
                <w:b/>
                <w:sz w:val="20"/>
              </w:rPr>
              <w:t>H</w:t>
            </w:r>
            <w:r w:rsidRPr="00124494">
              <w:rPr>
                <w:rFonts w:ascii="Arial" w:hAnsi="Arial"/>
                <w:b/>
                <w:sz w:val="20"/>
              </w:rPr>
              <w:t>andout 9.1</w:t>
            </w:r>
            <w:r w:rsidRPr="004F45F6">
              <w:rPr>
                <w:rFonts w:ascii="Arial" w:hAnsi="Arial"/>
                <w:sz w:val="20"/>
              </w:rPr>
              <w:t>) and write their ideas.</w:t>
            </w:r>
          </w:p>
          <w:p w:rsidR="004F45F6" w:rsidRPr="004F45F6" w:rsidRDefault="004F45F6" w:rsidP="004F45F6">
            <w:pPr>
              <w:pStyle w:val="ListParagraph"/>
              <w:numPr>
                <w:ilvl w:val="0"/>
                <w:numId w:val="6"/>
              </w:numPr>
              <w:spacing w:before="120" w:line="240" w:lineRule="auto"/>
              <w:ind w:left="357" w:hanging="357"/>
              <w:contextualSpacing w:val="0"/>
              <w:rPr>
                <w:rFonts w:ascii="Arial" w:hAnsi="Arial"/>
                <w:sz w:val="20"/>
                <w:szCs w:val="20"/>
              </w:rPr>
            </w:pPr>
            <w:r w:rsidRPr="004F45F6">
              <w:rPr>
                <w:rFonts w:ascii="Arial" w:hAnsi="Arial"/>
                <w:sz w:val="20"/>
                <w:szCs w:val="20"/>
              </w:rPr>
              <w:t xml:space="preserve">The groups will have </w:t>
            </w:r>
            <w:r w:rsidRPr="004F45F6">
              <w:rPr>
                <w:rFonts w:ascii="Arial" w:hAnsi="Arial"/>
                <w:b/>
                <w:sz w:val="20"/>
                <w:szCs w:val="20"/>
              </w:rPr>
              <w:t>90 minutes</w:t>
            </w:r>
            <w:r w:rsidRPr="004F45F6">
              <w:rPr>
                <w:rFonts w:ascii="Arial" w:hAnsi="Arial"/>
                <w:sz w:val="20"/>
                <w:szCs w:val="20"/>
              </w:rPr>
              <w:t xml:space="preserve"> to complete the Contingency plan worksheet for their group.  This includes completing the plan for preparedness and response activities.  If an agency is not able to give a firm commitment during this process, they can give a tentative commitment and then confirm as the plan is being finalised.  The group should give as much detail as possible so the document can be used.  </w:t>
            </w:r>
          </w:p>
          <w:p w:rsidR="004F45F6" w:rsidRPr="00124494" w:rsidRDefault="004F45F6" w:rsidP="00127AE4">
            <w:pPr>
              <w:pStyle w:val="ListParagraph"/>
              <w:numPr>
                <w:ilvl w:val="0"/>
                <w:numId w:val="6"/>
              </w:numPr>
              <w:spacing w:before="120" w:line="240" w:lineRule="auto"/>
              <w:ind w:left="357" w:hanging="357"/>
              <w:contextualSpacing w:val="0"/>
              <w:rPr>
                <w:rFonts w:ascii="Arial" w:hAnsi="Arial" w:cs="Arial"/>
                <w:sz w:val="20"/>
              </w:rPr>
            </w:pPr>
            <w:r w:rsidRPr="006312B5">
              <w:rPr>
                <w:rFonts w:ascii="Arial" w:hAnsi="Arial"/>
                <w:sz w:val="20"/>
              </w:rPr>
              <w:t>Large group presentation and discussions (</w:t>
            </w:r>
            <w:r w:rsidRPr="006312B5">
              <w:rPr>
                <w:rFonts w:ascii="Arial" w:hAnsi="Arial"/>
                <w:b/>
                <w:sz w:val="20"/>
              </w:rPr>
              <w:t>60 minutes</w:t>
            </w:r>
            <w:r w:rsidRPr="006312B5">
              <w:rPr>
                <w:rFonts w:ascii="Arial" w:hAnsi="Arial"/>
                <w:sz w:val="20"/>
              </w:rPr>
              <w:t>):</w:t>
            </w:r>
            <w:r>
              <w:rPr>
                <w:rFonts w:ascii="Arial" w:hAnsi="Arial"/>
                <w:sz w:val="20"/>
              </w:rPr>
              <w:t xml:space="preserve"> </w:t>
            </w:r>
            <w:r w:rsidRPr="006A7909">
              <w:rPr>
                <w:rFonts w:ascii="Arial" w:hAnsi="Arial"/>
                <w:sz w:val="20"/>
              </w:rPr>
              <w:t>Each group</w:t>
            </w:r>
            <w:r>
              <w:rPr>
                <w:rFonts w:ascii="Arial" w:hAnsi="Arial"/>
                <w:sz w:val="20"/>
              </w:rPr>
              <w:t xml:space="preserve"> will then present their ideas to the rest of the group.  This will provide a chance for the whole group to discuss the ideas the group came up with, add activities, commit to activities, take activities out etc…   During this discussion, one person should be elected to type up all of these ideas and send them around to the whole group for feedback before finalising.  </w:t>
            </w:r>
            <w:r w:rsidRPr="009264BD">
              <w:rPr>
                <w:rFonts w:ascii="Arial" w:hAnsi="Arial"/>
                <w:i/>
                <w:sz w:val="20"/>
              </w:rPr>
              <w:t>(Note: Often a person from the cluster coordinating a</w:t>
            </w:r>
            <w:r w:rsidR="00127AE4">
              <w:rPr>
                <w:rFonts w:ascii="Arial" w:hAnsi="Arial"/>
                <w:i/>
                <w:sz w:val="20"/>
              </w:rPr>
              <w:t>gencies will take on this task).</w:t>
            </w:r>
          </w:p>
          <w:p w:rsidR="00124494" w:rsidRPr="00124494" w:rsidRDefault="00124494" w:rsidP="00124494">
            <w:pPr>
              <w:pStyle w:val="ListParagraph"/>
              <w:spacing w:before="60" w:line="240" w:lineRule="auto"/>
              <w:ind w:left="357"/>
              <w:contextualSpacing w:val="0"/>
              <w:rPr>
                <w:rFonts w:ascii="Arial" w:hAnsi="Arial" w:cs="Arial"/>
                <w:sz w:val="20"/>
              </w:rPr>
            </w:pPr>
            <w:r w:rsidRPr="00124494">
              <w:rPr>
                <w:rFonts w:ascii="Arial" w:hAnsi="Arial"/>
                <w:sz w:val="20"/>
              </w:rPr>
              <w:t>Finish by Directing participants to the reports and sample contingency plan from Nepal included on their CD.  In addition there is a copy of the IASC guidelines for developing contingency plans</w:t>
            </w:r>
          </w:p>
        </w:tc>
      </w:tr>
    </w:tbl>
    <w:p w:rsidR="00112670" w:rsidRPr="008D301B" w:rsidRDefault="00112670" w:rsidP="00564977">
      <w:pPr>
        <w:pageBreakBefore/>
        <w:pBdr>
          <w:top w:val="single" w:sz="4" w:space="1" w:color="auto"/>
          <w:left w:val="single" w:sz="4" w:space="4" w:color="auto"/>
          <w:bottom w:val="single" w:sz="4" w:space="1" w:color="auto"/>
          <w:right w:val="single" w:sz="4" w:space="1" w:color="auto"/>
        </w:pBdr>
        <w:tabs>
          <w:tab w:val="left" w:pos="4320"/>
        </w:tabs>
        <w:jc w:val="center"/>
        <w:rPr>
          <w:rFonts w:ascii="Arial" w:hAnsi="Arial" w:cs="Arial"/>
          <w:b/>
          <w:sz w:val="22"/>
          <w:szCs w:val="22"/>
        </w:rPr>
      </w:pPr>
      <w:r>
        <w:rPr>
          <w:rFonts w:ascii="Arial" w:hAnsi="Arial" w:cs="Arial"/>
          <w:b/>
          <w:sz w:val="22"/>
          <w:szCs w:val="22"/>
        </w:rPr>
        <w:lastRenderedPageBreak/>
        <w:t>Handout 2.1</w:t>
      </w:r>
      <w:r w:rsidRPr="008D301B">
        <w:rPr>
          <w:rFonts w:ascii="Arial" w:hAnsi="Arial" w:cs="Arial"/>
          <w:b/>
          <w:sz w:val="22"/>
          <w:szCs w:val="22"/>
        </w:rPr>
        <w:t xml:space="preserve"> </w:t>
      </w:r>
      <w:r>
        <w:rPr>
          <w:rFonts w:ascii="Arial" w:hAnsi="Arial" w:cs="Arial"/>
          <w:b/>
          <w:sz w:val="22"/>
          <w:szCs w:val="22"/>
        </w:rPr>
        <w:t>–</w:t>
      </w:r>
      <w:r w:rsidRPr="008D301B">
        <w:rPr>
          <w:rFonts w:ascii="Arial" w:hAnsi="Arial" w:cs="Arial"/>
          <w:b/>
          <w:sz w:val="22"/>
          <w:szCs w:val="22"/>
        </w:rPr>
        <w:t xml:space="preserve"> </w:t>
      </w:r>
      <w:r w:rsidR="00564977">
        <w:rPr>
          <w:rFonts w:ascii="Arial" w:hAnsi="Arial" w:cs="Arial"/>
          <w:b/>
          <w:sz w:val="22"/>
          <w:szCs w:val="22"/>
        </w:rPr>
        <w:t xml:space="preserve">Minimum Standards for Education - </w:t>
      </w:r>
      <w:r w:rsidRPr="00B02E6D">
        <w:rPr>
          <w:rFonts w:ascii="Arial" w:hAnsi="Arial" w:cs="Arial"/>
          <w:b/>
          <w:sz w:val="22"/>
          <w:szCs w:val="22"/>
        </w:rPr>
        <w:t>Summary</w:t>
      </w:r>
    </w:p>
    <w:p w:rsidR="00112670" w:rsidRDefault="00112670" w:rsidP="00112670">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28"/>
        <w:gridCol w:w="4752"/>
      </w:tblGrid>
      <w:tr w:rsidR="00112670" w:rsidTr="00564977">
        <w:tc>
          <w:tcPr>
            <w:tcW w:w="9180" w:type="dxa"/>
            <w:gridSpan w:val="2"/>
            <w:shd w:val="clear" w:color="auto" w:fill="00CCFF"/>
          </w:tcPr>
          <w:p w:rsidR="00112670" w:rsidRPr="00856D16" w:rsidRDefault="00112670" w:rsidP="009817F6">
            <w:pPr>
              <w:jc w:val="center"/>
              <w:rPr>
                <w:b/>
              </w:rPr>
            </w:pPr>
            <w:r w:rsidRPr="00856D16">
              <w:rPr>
                <w:b/>
              </w:rPr>
              <w:t>Foundational Standards: Community Participation, Coordination, Analysis</w:t>
            </w:r>
          </w:p>
          <w:p w:rsidR="00112670" w:rsidRPr="00856D16" w:rsidRDefault="00112670" w:rsidP="009817F6">
            <w:pPr>
              <w:jc w:val="center"/>
              <w:rPr>
                <w:b/>
                <w:sz w:val="20"/>
              </w:rPr>
            </w:pPr>
          </w:p>
        </w:tc>
      </w:tr>
      <w:tr w:rsidR="00112670" w:rsidTr="00564977">
        <w:tc>
          <w:tcPr>
            <w:tcW w:w="9180" w:type="dxa"/>
            <w:gridSpan w:val="2"/>
          </w:tcPr>
          <w:p w:rsidR="00112670" w:rsidRPr="00856D16" w:rsidRDefault="00112670" w:rsidP="009817F6">
            <w:pPr>
              <w:rPr>
                <w:sz w:val="20"/>
              </w:rPr>
            </w:pPr>
            <w:r w:rsidRPr="00856D16">
              <w:rPr>
                <w:b/>
                <w:sz w:val="20"/>
                <w:u w:val="single"/>
              </w:rPr>
              <w:t>Community Participation Standard 1: Participation</w:t>
            </w:r>
            <w:r w:rsidRPr="00856D16">
              <w:rPr>
                <w:sz w:val="20"/>
              </w:rPr>
              <w:t xml:space="preserve"> Community members participate actively, transparently, and without discrimination in analysis, planning, design, implementation, monitoring and evaluation of education responses.</w:t>
            </w:r>
          </w:p>
          <w:p w:rsidR="00112670" w:rsidRPr="00856D16" w:rsidRDefault="00112670" w:rsidP="009817F6">
            <w:pPr>
              <w:rPr>
                <w:sz w:val="20"/>
              </w:rPr>
            </w:pPr>
            <w:r w:rsidRPr="00856D16">
              <w:rPr>
                <w:b/>
                <w:sz w:val="20"/>
                <w:u w:val="single"/>
              </w:rPr>
              <w:t>Community Participation Standard 2: Resources</w:t>
            </w:r>
            <w:r w:rsidRPr="00856D16">
              <w:rPr>
                <w:sz w:val="20"/>
              </w:rPr>
              <w:t xml:space="preserve"> Community resources are identified, mobilised and used to implement age-appropriate learning opportunities.</w:t>
            </w:r>
            <w:r w:rsidRPr="00856D16">
              <w:rPr>
                <w:sz w:val="20"/>
              </w:rPr>
              <w:tab/>
            </w:r>
          </w:p>
          <w:p w:rsidR="00112670" w:rsidRPr="00856D16" w:rsidRDefault="00112670" w:rsidP="009817F6">
            <w:pPr>
              <w:rPr>
                <w:b/>
                <w:sz w:val="20"/>
              </w:rPr>
            </w:pPr>
          </w:p>
          <w:p w:rsidR="00112670" w:rsidRPr="00856D16" w:rsidRDefault="00112670" w:rsidP="009817F6">
            <w:pPr>
              <w:rPr>
                <w:sz w:val="20"/>
              </w:rPr>
            </w:pPr>
            <w:r w:rsidRPr="00856D16">
              <w:rPr>
                <w:b/>
                <w:sz w:val="20"/>
                <w:u w:val="single"/>
              </w:rPr>
              <w:t>Coordination Standard 1: Coordination</w:t>
            </w:r>
            <w:r w:rsidRPr="00856D16">
              <w:rPr>
                <w:sz w:val="20"/>
              </w:rPr>
              <w:t xml:space="preserve"> </w:t>
            </w:r>
            <w:proofErr w:type="spellStart"/>
            <w:r w:rsidRPr="00856D16">
              <w:rPr>
                <w:sz w:val="20"/>
              </w:rPr>
              <w:t>Coordination</w:t>
            </w:r>
            <w:proofErr w:type="spellEnd"/>
            <w:r w:rsidRPr="00856D16">
              <w:rPr>
                <w:sz w:val="20"/>
              </w:rPr>
              <w:t xml:space="preserve"> mechanisms for education are in place and support stakeholders working to ensure access to and continuity of quality education.</w:t>
            </w:r>
          </w:p>
          <w:p w:rsidR="00112670" w:rsidRPr="00856D16" w:rsidRDefault="00112670" w:rsidP="009817F6">
            <w:pPr>
              <w:rPr>
                <w:sz w:val="20"/>
              </w:rPr>
            </w:pPr>
          </w:p>
          <w:p w:rsidR="00112670" w:rsidRPr="00856D16" w:rsidRDefault="00112670" w:rsidP="009817F6">
            <w:pPr>
              <w:rPr>
                <w:sz w:val="20"/>
              </w:rPr>
            </w:pPr>
            <w:r w:rsidRPr="00856D16">
              <w:rPr>
                <w:b/>
                <w:sz w:val="20"/>
                <w:u w:val="single"/>
              </w:rPr>
              <w:t>Analysis Standard 1: Assessment</w:t>
            </w:r>
            <w:r w:rsidRPr="00856D16">
              <w:rPr>
                <w:sz w:val="20"/>
              </w:rPr>
              <w:t xml:space="preserve"> Timely education assessments of the emergency situation are conducted in a holistic, transparent and participatory manner.</w:t>
            </w:r>
          </w:p>
          <w:p w:rsidR="00112670" w:rsidRPr="00856D16" w:rsidRDefault="00112670" w:rsidP="009817F6">
            <w:pPr>
              <w:rPr>
                <w:sz w:val="20"/>
              </w:rPr>
            </w:pPr>
            <w:r w:rsidRPr="00856D16">
              <w:rPr>
                <w:b/>
                <w:sz w:val="20"/>
                <w:u w:val="single"/>
              </w:rPr>
              <w:t>Analysis Standard 2: Response Strategies</w:t>
            </w:r>
            <w:r w:rsidRPr="00856D16">
              <w:rPr>
                <w:sz w:val="20"/>
              </w:rPr>
              <w:t xml:space="preserve"> Inclusive education response strategies include a clear description of the context, barriers to the right to education and strategies to overcome those barriers.</w:t>
            </w:r>
          </w:p>
          <w:p w:rsidR="00112670" w:rsidRPr="00856D16" w:rsidRDefault="00112670" w:rsidP="009817F6">
            <w:pPr>
              <w:rPr>
                <w:sz w:val="20"/>
              </w:rPr>
            </w:pPr>
            <w:r w:rsidRPr="00856D16">
              <w:rPr>
                <w:b/>
                <w:sz w:val="20"/>
                <w:u w:val="single"/>
              </w:rPr>
              <w:t>Analysis Standard 3: Monitoring</w:t>
            </w:r>
            <w:r w:rsidRPr="00856D16">
              <w:rPr>
                <w:sz w:val="20"/>
              </w:rPr>
              <w:t xml:space="preserve"> Regular monitoring of education response activities and the evolving learning needs of the affected population is carried out.</w:t>
            </w:r>
          </w:p>
          <w:p w:rsidR="00112670" w:rsidRDefault="00112670" w:rsidP="009817F6">
            <w:r w:rsidRPr="00856D16">
              <w:rPr>
                <w:b/>
                <w:sz w:val="20"/>
                <w:u w:val="single"/>
              </w:rPr>
              <w:t>Analysis Standard 4: Evaluation</w:t>
            </w:r>
            <w:r w:rsidRPr="00856D16">
              <w:rPr>
                <w:sz w:val="20"/>
              </w:rPr>
              <w:t xml:space="preserve"> Systematic and impartial evaluations improve education response activities and enhance accountability.</w:t>
            </w:r>
          </w:p>
        </w:tc>
      </w:tr>
      <w:tr w:rsidR="00112670" w:rsidTr="00564977">
        <w:tc>
          <w:tcPr>
            <w:tcW w:w="4428" w:type="dxa"/>
            <w:shd w:val="clear" w:color="auto" w:fill="00CCFF"/>
          </w:tcPr>
          <w:p w:rsidR="00112670" w:rsidRPr="00856D16" w:rsidRDefault="00112670" w:rsidP="009817F6">
            <w:pPr>
              <w:jc w:val="center"/>
              <w:rPr>
                <w:b/>
              </w:rPr>
            </w:pPr>
            <w:r w:rsidRPr="00856D16">
              <w:rPr>
                <w:b/>
              </w:rPr>
              <w:t>Domain: Access and Learning Environment</w:t>
            </w:r>
          </w:p>
        </w:tc>
        <w:tc>
          <w:tcPr>
            <w:tcW w:w="4752" w:type="dxa"/>
            <w:shd w:val="clear" w:color="auto" w:fill="00CCFF"/>
          </w:tcPr>
          <w:p w:rsidR="00112670" w:rsidRPr="00856D16" w:rsidRDefault="00112670" w:rsidP="009817F6">
            <w:pPr>
              <w:jc w:val="center"/>
              <w:rPr>
                <w:b/>
              </w:rPr>
            </w:pPr>
            <w:r w:rsidRPr="00856D16">
              <w:rPr>
                <w:b/>
              </w:rPr>
              <w:t>Domain: Teaching and Learning</w:t>
            </w:r>
          </w:p>
          <w:p w:rsidR="00112670" w:rsidRPr="00856D16" w:rsidRDefault="00112670" w:rsidP="009817F6">
            <w:pPr>
              <w:rPr>
                <w:b/>
              </w:rPr>
            </w:pPr>
          </w:p>
        </w:tc>
      </w:tr>
      <w:tr w:rsidR="00112670" w:rsidTr="00564977">
        <w:tc>
          <w:tcPr>
            <w:tcW w:w="4428" w:type="dxa"/>
            <w:tcBorders>
              <w:bottom w:val="single" w:sz="4" w:space="0" w:color="auto"/>
            </w:tcBorders>
          </w:tcPr>
          <w:p w:rsidR="00112670" w:rsidRPr="00856D16" w:rsidRDefault="00112670" w:rsidP="009817F6">
            <w:pPr>
              <w:rPr>
                <w:sz w:val="20"/>
              </w:rPr>
            </w:pPr>
            <w:r w:rsidRPr="00856D16">
              <w:rPr>
                <w:b/>
                <w:sz w:val="20"/>
                <w:u w:val="single"/>
              </w:rPr>
              <w:t>Standard 1: Equal Access</w:t>
            </w:r>
            <w:r w:rsidRPr="00856D16">
              <w:rPr>
                <w:sz w:val="20"/>
              </w:rPr>
              <w:t xml:space="preserve"> All individuals have access to quality and relevant education opportunities.</w:t>
            </w:r>
          </w:p>
          <w:p w:rsidR="00112670" w:rsidRPr="00856D16" w:rsidRDefault="00112670" w:rsidP="009817F6">
            <w:pPr>
              <w:rPr>
                <w:sz w:val="20"/>
                <w:u w:val="single"/>
              </w:rPr>
            </w:pPr>
            <w:r w:rsidRPr="00856D16">
              <w:rPr>
                <w:b/>
                <w:sz w:val="20"/>
                <w:u w:val="single"/>
              </w:rPr>
              <w:t>Standard 2: Protection and Well-being</w:t>
            </w:r>
            <w:r w:rsidRPr="00856D16">
              <w:rPr>
                <w:sz w:val="20"/>
              </w:rPr>
              <w:t xml:space="preserve"> Learning environments are secure and safe, and promote the psychosocial well-being of learners, teachers and other education personnel.</w:t>
            </w:r>
          </w:p>
          <w:p w:rsidR="00112670" w:rsidRDefault="00112670" w:rsidP="009817F6">
            <w:r w:rsidRPr="00856D16">
              <w:rPr>
                <w:b/>
                <w:sz w:val="20"/>
                <w:u w:val="single"/>
              </w:rPr>
              <w:t>Standard 3: Facilities and Services</w:t>
            </w:r>
            <w:r w:rsidRPr="00856D16">
              <w:rPr>
                <w:sz w:val="20"/>
              </w:rPr>
              <w:t xml:space="preserve"> Education facilities promote the safety and well-being of learners, teachers and other education personnel and are linked to health, nutrition, psychosocial and protection services.</w:t>
            </w:r>
          </w:p>
        </w:tc>
        <w:tc>
          <w:tcPr>
            <w:tcW w:w="4752" w:type="dxa"/>
            <w:tcBorders>
              <w:bottom w:val="single" w:sz="4" w:space="0" w:color="auto"/>
            </w:tcBorders>
          </w:tcPr>
          <w:p w:rsidR="00112670" w:rsidRPr="00856D16" w:rsidRDefault="00112670" w:rsidP="009817F6">
            <w:pPr>
              <w:rPr>
                <w:sz w:val="20"/>
              </w:rPr>
            </w:pPr>
            <w:r w:rsidRPr="00856D16">
              <w:rPr>
                <w:b/>
                <w:sz w:val="20"/>
                <w:u w:val="single"/>
              </w:rPr>
              <w:t>Standard 1: Curricula</w:t>
            </w:r>
            <w:r w:rsidRPr="00856D16">
              <w:rPr>
                <w:sz w:val="20"/>
              </w:rPr>
              <w:t xml:space="preserve"> Culturally, socially and linguistically relevant curricula are used to provide formal and non-formal education, appropriate to the particular context and needs of learners.</w:t>
            </w:r>
          </w:p>
          <w:p w:rsidR="00112670" w:rsidRPr="00856D16" w:rsidRDefault="00112670" w:rsidP="009817F6">
            <w:pPr>
              <w:rPr>
                <w:sz w:val="20"/>
                <w:u w:val="single"/>
              </w:rPr>
            </w:pPr>
            <w:r w:rsidRPr="00856D16">
              <w:rPr>
                <w:b/>
                <w:sz w:val="20"/>
                <w:u w:val="single"/>
              </w:rPr>
              <w:t>Standard 2: Training, Professional Development and Support</w:t>
            </w:r>
            <w:r w:rsidRPr="00856D16">
              <w:rPr>
                <w:sz w:val="20"/>
              </w:rPr>
              <w:t xml:space="preserve"> Teachers and other education personnel receive periodic, relevant and structured training according to needs and circumstances.</w:t>
            </w:r>
          </w:p>
          <w:p w:rsidR="00112670" w:rsidRPr="00856D16" w:rsidRDefault="00112670" w:rsidP="009817F6">
            <w:pPr>
              <w:rPr>
                <w:sz w:val="20"/>
              </w:rPr>
            </w:pPr>
            <w:r w:rsidRPr="00856D16">
              <w:rPr>
                <w:b/>
                <w:sz w:val="20"/>
                <w:u w:val="single"/>
              </w:rPr>
              <w:t>Standard 3: Instruction and Learning Processes</w:t>
            </w:r>
            <w:r w:rsidRPr="00856D16">
              <w:rPr>
                <w:sz w:val="20"/>
              </w:rPr>
              <w:t xml:space="preserve"> Instruction and learning processes are learner-centred, participatory and inclusive.</w:t>
            </w:r>
          </w:p>
          <w:p w:rsidR="00112670" w:rsidRDefault="00112670" w:rsidP="009817F6">
            <w:r w:rsidRPr="00856D16">
              <w:rPr>
                <w:b/>
                <w:sz w:val="20"/>
                <w:u w:val="single"/>
              </w:rPr>
              <w:t>Standard 4: Assessment of Learning Outcomes</w:t>
            </w:r>
            <w:r w:rsidRPr="00856D16">
              <w:rPr>
                <w:sz w:val="20"/>
              </w:rPr>
              <w:t xml:space="preserve"> Appropriate methods are used to evaluate and validate learning outcomes.</w:t>
            </w:r>
          </w:p>
        </w:tc>
      </w:tr>
      <w:tr w:rsidR="00112670" w:rsidTr="00564977">
        <w:tc>
          <w:tcPr>
            <w:tcW w:w="4428" w:type="dxa"/>
            <w:shd w:val="clear" w:color="auto" w:fill="00CCFF"/>
          </w:tcPr>
          <w:p w:rsidR="00112670" w:rsidRPr="00856D16" w:rsidRDefault="00112670" w:rsidP="009817F6">
            <w:pPr>
              <w:jc w:val="center"/>
              <w:rPr>
                <w:b/>
              </w:rPr>
            </w:pPr>
            <w:r w:rsidRPr="00856D16">
              <w:rPr>
                <w:b/>
              </w:rPr>
              <w:t>Domain: Teachers and Other Education Personnel</w:t>
            </w:r>
          </w:p>
        </w:tc>
        <w:tc>
          <w:tcPr>
            <w:tcW w:w="4752" w:type="dxa"/>
            <w:shd w:val="clear" w:color="auto" w:fill="00CCFF"/>
          </w:tcPr>
          <w:p w:rsidR="00112670" w:rsidRPr="00856D16" w:rsidRDefault="00112670" w:rsidP="009817F6">
            <w:pPr>
              <w:jc w:val="center"/>
              <w:rPr>
                <w:b/>
              </w:rPr>
            </w:pPr>
            <w:r w:rsidRPr="00856D16">
              <w:rPr>
                <w:b/>
              </w:rPr>
              <w:t>Domain: Education Policy</w:t>
            </w:r>
          </w:p>
        </w:tc>
      </w:tr>
      <w:tr w:rsidR="00112670" w:rsidTr="00564977">
        <w:tc>
          <w:tcPr>
            <w:tcW w:w="4428" w:type="dxa"/>
          </w:tcPr>
          <w:p w:rsidR="00112670" w:rsidRPr="00856D16" w:rsidRDefault="00112670" w:rsidP="009817F6">
            <w:pPr>
              <w:spacing w:line="240" w:lineRule="auto"/>
              <w:rPr>
                <w:rFonts w:eastAsia="Times New Roman"/>
                <w:sz w:val="20"/>
              </w:rPr>
            </w:pPr>
            <w:r w:rsidRPr="00856D16">
              <w:rPr>
                <w:rFonts w:eastAsia="Times New Roman"/>
                <w:b/>
                <w:sz w:val="20"/>
                <w:u w:val="single"/>
              </w:rPr>
              <w:t>Standard 1: Recruitment and Selection</w:t>
            </w:r>
            <w:r w:rsidRPr="00856D16">
              <w:rPr>
                <w:rFonts w:eastAsia="Times New Roman"/>
                <w:sz w:val="20"/>
              </w:rPr>
              <w:t xml:space="preserve"> </w:t>
            </w:r>
          </w:p>
          <w:p w:rsidR="00112670" w:rsidRPr="00856D16" w:rsidRDefault="00112670" w:rsidP="009817F6">
            <w:pPr>
              <w:spacing w:line="240" w:lineRule="auto"/>
              <w:rPr>
                <w:rFonts w:eastAsia="Times New Roman"/>
                <w:sz w:val="20"/>
              </w:rPr>
            </w:pPr>
            <w:r w:rsidRPr="00856D16">
              <w:rPr>
                <w:rFonts w:eastAsia="Times New Roman"/>
                <w:sz w:val="20"/>
              </w:rPr>
              <w:t>A sufficient number of appropriately qualified teachers and other education personnel are recruited through a participatory and transparent process, based on selection criteria reflecting diversity and equity.</w:t>
            </w:r>
          </w:p>
          <w:p w:rsidR="00112670" w:rsidRPr="00856D16" w:rsidRDefault="00112670" w:rsidP="009817F6">
            <w:pPr>
              <w:spacing w:line="240" w:lineRule="auto"/>
              <w:rPr>
                <w:rFonts w:eastAsia="Times New Roman"/>
                <w:sz w:val="20"/>
                <w:u w:val="single"/>
              </w:rPr>
            </w:pPr>
            <w:r w:rsidRPr="00856D16">
              <w:rPr>
                <w:rFonts w:eastAsia="Times New Roman"/>
                <w:b/>
                <w:sz w:val="20"/>
                <w:u w:val="single"/>
              </w:rPr>
              <w:t>Standard 2: Conditions of Work</w:t>
            </w:r>
            <w:r w:rsidRPr="00856D16">
              <w:rPr>
                <w:rFonts w:eastAsia="Times New Roman"/>
                <w:sz w:val="20"/>
              </w:rPr>
              <w:t xml:space="preserve"> Teachers and other education personnel have clearly defined conditions of work and are appropriately compensated.</w:t>
            </w:r>
          </w:p>
          <w:p w:rsidR="00112670" w:rsidRPr="00856D16" w:rsidRDefault="00112670" w:rsidP="009817F6">
            <w:pPr>
              <w:spacing w:line="240" w:lineRule="auto"/>
              <w:rPr>
                <w:b/>
                <w:sz w:val="20"/>
                <w:u w:val="single"/>
              </w:rPr>
            </w:pPr>
            <w:r w:rsidRPr="00856D16">
              <w:rPr>
                <w:rFonts w:eastAsia="Times New Roman"/>
                <w:b/>
                <w:sz w:val="20"/>
                <w:u w:val="single"/>
              </w:rPr>
              <w:t>Standard 3: Support and Supervision</w:t>
            </w:r>
            <w:r w:rsidRPr="00856D16">
              <w:rPr>
                <w:rFonts w:eastAsia="Times New Roman"/>
                <w:sz w:val="20"/>
              </w:rPr>
              <w:t xml:space="preserve"> Support and supervision mechanisms for teachers and other education personnel function effectively.</w:t>
            </w:r>
          </w:p>
        </w:tc>
        <w:tc>
          <w:tcPr>
            <w:tcW w:w="4752" w:type="dxa"/>
          </w:tcPr>
          <w:p w:rsidR="00112670" w:rsidRPr="00856D16" w:rsidRDefault="00112670" w:rsidP="009817F6">
            <w:pPr>
              <w:rPr>
                <w:sz w:val="20"/>
              </w:rPr>
            </w:pPr>
            <w:r w:rsidRPr="00856D16">
              <w:rPr>
                <w:b/>
                <w:sz w:val="20"/>
                <w:u w:val="single"/>
              </w:rPr>
              <w:t>Standard 1: Law and Policy Formulation</w:t>
            </w:r>
            <w:r w:rsidRPr="00856D16">
              <w:rPr>
                <w:sz w:val="20"/>
              </w:rPr>
              <w:t xml:space="preserve"> Education authorities prioritise continuity and recovery of quality education, including free and inclusive access to schooling.</w:t>
            </w:r>
          </w:p>
          <w:p w:rsidR="00112670" w:rsidRPr="00856D16" w:rsidRDefault="00112670" w:rsidP="009817F6">
            <w:pPr>
              <w:rPr>
                <w:sz w:val="20"/>
              </w:rPr>
            </w:pPr>
            <w:r w:rsidRPr="00856D16">
              <w:rPr>
                <w:b/>
                <w:sz w:val="20"/>
                <w:u w:val="single"/>
              </w:rPr>
              <w:t>Standard 2: Planning and Implementation</w:t>
            </w:r>
            <w:r w:rsidRPr="00856D16">
              <w:rPr>
                <w:sz w:val="20"/>
              </w:rPr>
              <w:t xml:space="preserve"> Education activities take into account international and national educational policies, laws, standards and plans and the learning needs of affected populations.</w:t>
            </w:r>
          </w:p>
          <w:p w:rsidR="00112670" w:rsidRDefault="00112670" w:rsidP="009817F6"/>
        </w:tc>
      </w:tr>
    </w:tbl>
    <w:p w:rsidR="00112670" w:rsidRPr="00813AD0" w:rsidRDefault="00112670" w:rsidP="00112670">
      <w:pPr>
        <w:spacing w:after="200"/>
        <w:rPr>
          <w:rFonts w:ascii="Arial" w:hAnsi="Arial" w:cs="Arial"/>
          <w:sz w:val="20"/>
          <w:szCs w:val="20"/>
        </w:rPr>
      </w:pPr>
    </w:p>
    <w:p w:rsidR="006F4659" w:rsidRDefault="006F4659" w:rsidP="00DF49AF">
      <w:pPr>
        <w:pBdr>
          <w:top w:val="single" w:sz="4" w:space="1" w:color="auto"/>
          <w:left w:val="single" w:sz="4" w:space="4" w:color="auto"/>
          <w:bottom w:val="single" w:sz="4" w:space="1" w:color="auto"/>
          <w:right w:val="single" w:sz="4" w:space="4" w:color="auto"/>
        </w:pBdr>
        <w:tabs>
          <w:tab w:val="left" w:pos="360"/>
        </w:tabs>
        <w:spacing w:before="80" w:after="80"/>
        <w:jc w:val="center"/>
        <w:rPr>
          <w:rFonts w:ascii="Arial" w:hAnsi="Arial" w:cs="Arial"/>
          <w:b/>
          <w:sz w:val="22"/>
          <w:szCs w:val="22"/>
        </w:rPr>
        <w:sectPr w:rsidR="006F4659" w:rsidSect="006B2BF4">
          <w:footerReference w:type="default" r:id="rId19"/>
          <w:pgSz w:w="11906" w:h="16838"/>
          <w:pgMar w:top="1440" w:right="1440" w:bottom="1440" w:left="1440" w:header="720" w:footer="720" w:gutter="0"/>
          <w:cols w:space="720"/>
          <w:docGrid w:linePitch="360"/>
        </w:sectPr>
      </w:pPr>
    </w:p>
    <w:p w:rsidR="006F4659" w:rsidRPr="00F46B3A" w:rsidRDefault="006F4659" w:rsidP="006F4659">
      <w:pPr>
        <w:pBdr>
          <w:top w:val="single" w:sz="4" w:space="0" w:color="000000"/>
          <w:left w:val="single" w:sz="4" w:space="14" w:color="000000"/>
          <w:bottom w:val="single" w:sz="4" w:space="0" w:color="000000"/>
          <w:right w:val="single" w:sz="4" w:space="0" w:color="000000"/>
        </w:pBdr>
        <w:suppressAutoHyphens/>
        <w:jc w:val="center"/>
        <w:rPr>
          <w:sz w:val="28"/>
        </w:rPr>
      </w:pPr>
      <w:r>
        <w:rPr>
          <w:rFonts w:ascii="Arial Bold" w:hAnsi="Arial Bold"/>
          <w:sz w:val="28"/>
        </w:rPr>
        <w:lastRenderedPageBreak/>
        <w:t>Handout</w:t>
      </w:r>
      <w:r w:rsidRPr="00F46B3A">
        <w:rPr>
          <w:rFonts w:ascii="Arial Bold" w:hAnsi="Arial Bold"/>
          <w:sz w:val="28"/>
        </w:rPr>
        <w:t xml:space="preserve"> 9.1:  Contingency Planning Worksheet</w:t>
      </w:r>
    </w:p>
    <w:p w:rsidR="006F4659" w:rsidRPr="00124494" w:rsidRDefault="006F4659" w:rsidP="006F4659">
      <w:pPr>
        <w:rPr>
          <w:sz w:val="16"/>
          <w:szCs w:val="16"/>
        </w:rPr>
      </w:pPr>
    </w:p>
    <w:tbl>
      <w:tblPr>
        <w:tblStyle w:val="TableGrid"/>
        <w:tblW w:w="0" w:type="auto"/>
        <w:tblInd w:w="-252" w:type="dxa"/>
        <w:tblLook w:val="00BF"/>
      </w:tblPr>
      <w:tblGrid>
        <w:gridCol w:w="3337"/>
        <w:gridCol w:w="2268"/>
        <w:gridCol w:w="2126"/>
        <w:gridCol w:w="2552"/>
        <w:gridCol w:w="1984"/>
        <w:gridCol w:w="1985"/>
      </w:tblGrid>
      <w:tr w:rsidR="006F4659" w:rsidTr="006F4659">
        <w:tc>
          <w:tcPr>
            <w:tcW w:w="3337" w:type="dxa"/>
            <w:shd w:val="clear" w:color="auto" w:fill="B3B3B3"/>
          </w:tcPr>
          <w:p w:rsidR="006F4659" w:rsidRPr="001A5498" w:rsidRDefault="006F4659" w:rsidP="009817F6">
            <w:pPr>
              <w:jc w:val="center"/>
              <w:rPr>
                <w:b/>
              </w:rPr>
            </w:pPr>
            <w:r w:rsidRPr="001A5498">
              <w:rPr>
                <w:b/>
              </w:rPr>
              <w:t>Activity Category</w:t>
            </w:r>
          </w:p>
        </w:tc>
        <w:tc>
          <w:tcPr>
            <w:tcW w:w="2268" w:type="dxa"/>
            <w:shd w:val="clear" w:color="auto" w:fill="B3B3B3"/>
          </w:tcPr>
          <w:p w:rsidR="006F4659" w:rsidRPr="001A5498" w:rsidRDefault="006F4659" w:rsidP="009817F6">
            <w:pPr>
              <w:jc w:val="center"/>
              <w:rPr>
                <w:b/>
              </w:rPr>
            </w:pPr>
            <w:r>
              <w:rPr>
                <w:b/>
              </w:rPr>
              <w:t>Response a</w:t>
            </w:r>
            <w:r w:rsidRPr="001A5498">
              <w:rPr>
                <w:b/>
              </w:rPr>
              <w:t>ctivity</w:t>
            </w:r>
          </w:p>
        </w:tc>
        <w:tc>
          <w:tcPr>
            <w:tcW w:w="2126" w:type="dxa"/>
            <w:shd w:val="clear" w:color="auto" w:fill="B3B3B3"/>
          </w:tcPr>
          <w:p w:rsidR="006F4659" w:rsidRPr="001A5498" w:rsidRDefault="006F4659" w:rsidP="009817F6">
            <w:pPr>
              <w:jc w:val="center"/>
              <w:rPr>
                <w:b/>
              </w:rPr>
            </w:pPr>
            <w:r>
              <w:rPr>
                <w:b/>
              </w:rPr>
              <w:t>Preparedness a</w:t>
            </w:r>
            <w:r w:rsidRPr="001A5498">
              <w:rPr>
                <w:b/>
              </w:rPr>
              <w:t>ctivity</w:t>
            </w:r>
          </w:p>
        </w:tc>
        <w:tc>
          <w:tcPr>
            <w:tcW w:w="2552" w:type="dxa"/>
            <w:shd w:val="clear" w:color="auto" w:fill="B3B3B3"/>
          </w:tcPr>
          <w:p w:rsidR="006F4659" w:rsidRPr="001A5498" w:rsidRDefault="006F4659" w:rsidP="009817F6">
            <w:pPr>
              <w:jc w:val="center"/>
              <w:rPr>
                <w:b/>
              </w:rPr>
            </w:pPr>
            <w:r w:rsidRPr="001A5498">
              <w:rPr>
                <w:b/>
              </w:rPr>
              <w:t>Link with which INEE Minimum Standards domain and standard</w:t>
            </w:r>
          </w:p>
        </w:tc>
        <w:tc>
          <w:tcPr>
            <w:tcW w:w="1984" w:type="dxa"/>
            <w:shd w:val="clear" w:color="auto" w:fill="B3B3B3"/>
          </w:tcPr>
          <w:p w:rsidR="006F4659" w:rsidRPr="001A5498" w:rsidRDefault="006F4659" w:rsidP="009817F6">
            <w:pPr>
              <w:jc w:val="center"/>
              <w:rPr>
                <w:b/>
              </w:rPr>
            </w:pPr>
            <w:r w:rsidRPr="001A5498">
              <w:rPr>
                <w:b/>
              </w:rPr>
              <w:t>By Whom</w:t>
            </w:r>
          </w:p>
        </w:tc>
        <w:tc>
          <w:tcPr>
            <w:tcW w:w="1985" w:type="dxa"/>
            <w:shd w:val="clear" w:color="auto" w:fill="B3B3B3"/>
          </w:tcPr>
          <w:p w:rsidR="006F4659" w:rsidRPr="001A5498" w:rsidRDefault="006F4659" w:rsidP="009817F6">
            <w:pPr>
              <w:jc w:val="center"/>
              <w:rPr>
                <w:b/>
              </w:rPr>
            </w:pPr>
            <w:r w:rsidRPr="001A5498">
              <w:rPr>
                <w:b/>
              </w:rPr>
              <w:t>By When</w:t>
            </w:r>
          </w:p>
        </w:tc>
      </w:tr>
      <w:tr w:rsidR="006F4659" w:rsidTr="00124494">
        <w:trPr>
          <w:trHeight w:val="1191"/>
        </w:trPr>
        <w:tc>
          <w:tcPr>
            <w:tcW w:w="3337" w:type="dxa"/>
          </w:tcPr>
          <w:p w:rsidR="006F4659" w:rsidRDefault="006F4659" w:rsidP="009817F6">
            <w:r>
              <w:t>1.  Assessment, Monitoring, Evaluation and Information Management</w:t>
            </w:r>
          </w:p>
        </w:tc>
        <w:tc>
          <w:tcPr>
            <w:tcW w:w="2268" w:type="dxa"/>
          </w:tcPr>
          <w:p w:rsidR="006F4659" w:rsidRDefault="006F4659" w:rsidP="009817F6"/>
        </w:tc>
        <w:tc>
          <w:tcPr>
            <w:tcW w:w="2126" w:type="dxa"/>
          </w:tcPr>
          <w:p w:rsidR="006F4659" w:rsidRDefault="006F4659" w:rsidP="009817F6"/>
        </w:tc>
        <w:tc>
          <w:tcPr>
            <w:tcW w:w="2552" w:type="dxa"/>
          </w:tcPr>
          <w:p w:rsidR="006F4659" w:rsidRDefault="006F4659" w:rsidP="009817F6"/>
        </w:tc>
        <w:tc>
          <w:tcPr>
            <w:tcW w:w="1984" w:type="dxa"/>
          </w:tcPr>
          <w:p w:rsidR="006F4659" w:rsidRDefault="006F4659" w:rsidP="009817F6"/>
        </w:tc>
        <w:tc>
          <w:tcPr>
            <w:tcW w:w="1985" w:type="dxa"/>
          </w:tcPr>
          <w:p w:rsidR="006F4659" w:rsidRDefault="006F4659" w:rsidP="009817F6"/>
        </w:tc>
      </w:tr>
      <w:tr w:rsidR="006F4659" w:rsidTr="00124494">
        <w:trPr>
          <w:trHeight w:val="1191"/>
        </w:trPr>
        <w:tc>
          <w:tcPr>
            <w:tcW w:w="3337" w:type="dxa"/>
          </w:tcPr>
          <w:p w:rsidR="006F4659" w:rsidRDefault="006F4659" w:rsidP="009817F6">
            <w:r>
              <w:t>2.  Cluster coordination /management and Human Resources</w:t>
            </w:r>
          </w:p>
        </w:tc>
        <w:tc>
          <w:tcPr>
            <w:tcW w:w="2268" w:type="dxa"/>
          </w:tcPr>
          <w:p w:rsidR="006F4659" w:rsidRDefault="006F4659" w:rsidP="009817F6"/>
        </w:tc>
        <w:tc>
          <w:tcPr>
            <w:tcW w:w="2126" w:type="dxa"/>
          </w:tcPr>
          <w:p w:rsidR="006F4659" w:rsidRDefault="006F4659" w:rsidP="009817F6"/>
        </w:tc>
        <w:tc>
          <w:tcPr>
            <w:tcW w:w="2552" w:type="dxa"/>
          </w:tcPr>
          <w:p w:rsidR="006F4659" w:rsidRDefault="006F4659" w:rsidP="009817F6"/>
        </w:tc>
        <w:tc>
          <w:tcPr>
            <w:tcW w:w="1984" w:type="dxa"/>
          </w:tcPr>
          <w:p w:rsidR="006F4659" w:rsidRDefault="006F4659" w:rsidP="009817F6"/>
        </w:tc>
        <w:tc>
          <w:tcPr>
            <w:tcW w:w="1985" w:type="dxa"/>
          </w:tcPr>
          <w:p w:rsidR="006F4659" w:rsidRDefault="006F4659" w:rsidP="009817F6"/>
        </w:tc>
      </w:tr>
      <w:tr w:rsidR="006F4659" w:rsidTr="00124494">
        <w:trPr>
          <w:trHeight w:val="1191"/>
        </w:trPr>
        <w:tc>
          <w:tcPr>
            <w:tcW w:w="3337" w:type="dxa"/>
          </w:tcPr>
          <w:p w:rsidR="006F4659" w:rsidRDefault="006F4659" w:rsidP="009817F6">
            <w:r>
              <w:t>3.  Teacher Recruitment, Mobilisation, Training and Compensation</w:t>
            </w:r>
          </w:p>
        </w:tc>
        <w:tc>
          <w:tcPr>
            <w:tcW w:w="2268" w:type="dxa"/>
          </w:tcPr>
          <w:p w:rsidR="006F4659" w:rsidRDefault="006F4659" w:rsidP="009817F6"/>
        </w:tc>
        <w:tc>
          <w:tcPr>
            <w:tcW w:w="2126" w:type="dxa"/>
          </w:tcPr>
          <w:p w:rsidR="006F4659" w:rsidRDefault="006F4659" w:rsidP="009817F6"/>
        </w:tc>
        <w:tc>
          <w:tcPr>
            <w:tcW w:w="2552" w:type="dxa"/>
          </w:tcPr>
          <w:p w:rsidR="006F4659" w:rsidRDefault="006F4659" w:rsidP="009817F6"/>
        </w:tc>
        <w:tc>
          <w:tcPr>
            <w:tcW w:w="1984" w:type="dxa"/>
          </w:tcPr>
          <w:p w:rsidR="006F4659" w:rsidRDefault="006F4659" w:rsidP="009817F6"/>
        </w:tc>
        <w:tc>
          <w:tcPr>
            <w:tcW w:w="1985" w:type="dxa"/>
          </w:tcPr>
          <w:p w:rsidR="006F4659" w:rsidRDefault="006F4659" w:rsidP="009817F6"/>
        </w:tc>
      </w:tr>
      <w:tr w:rsidR="006F4659" w:rsidTr="00124494">
        <w:trPr>
          <w:trHeight w:val="1191"/>
        </w:trPr>
        <w:tc>
          <w:tcPr>
            <w:tcW w:w="3337" w:type="dxa"/>
          </w:tcPr>
          <w:p w:rsidR="006F4659" w:rsidRDefault="006F4659" w:rsidP="009817F6">
            <w:r>
              <w:t>4.  Temporary Learning Spaces and Psychosocial support strategies</w:t>
            </w:r>
          </w:p>
        </w:tc>
        <w:tc>
          <w:tcPr>
            <w:tcW w:w="2268" w:type="dxa"/>
          </w:tcPr>
          <w:p w:rsidR="006F4659" w:rsidRDefault="006F4659" w:rsidP="009817F6"/>
        </w:tc>
        <w:tc>
          <w:tcPr>
            <w:tcW w:w="2126" w:type="dxa"/>
          </w:tcPr>
          <w:p w:rsidR="006F4659" w:rsidRDefault="006F4659" w:rsidP="009817F6"/>
        </w:tc>
        <w:tc>
          <w:tcPr>
            <w:tcW w:w="2552" w:type="dxa"/>
          </w:tcPr>
          <w:p w:rsidR="006F4659" w:rsidRDefault="006F4659" w:rsidP="009817F6"/>
        </w:tc>
        <w:tc>
          <w:tcPr>
            <w:tcW w:w="1984" w:type="dxa"/>
          </w:tcPr>
          <w:p w:rsidR="006F4659" w:rsidRDefault="006F4659" w:rsidP="009817F6"/>
        </w:tc>
        <w:tc>
          <w:tcPr>
            <w:tcW w:w="1985" w:type="dxa"/>
          </w:tcPr>
          <w:p w:rsidR="006F4659" w:rsidRDefault="006F4659" w:rsidP="009817F6"/>
        </w:tc>
      </w:tr>
      <w:tr w:rsidR="006F4659" w:rsidTr="00124494">
        <w:trPr>
          <w:trHeight w:val="1191"/>
        </w:trPr>
        <w:tc>
          <w:tcPr>
            <w:tcW w:w="3337" w:type="dxa"/>
          </w:tcPr>
          <w:p w:rsidR="006F4659" w:rsidRDefault="006F4659" w:rsidP="009817F6">
            <w:r>
              <w:t>5.  Education supplies and logistics and Emergency Education Curricula (formal and non-formal)</w:t>
            </w:r>
          </w:p>
          <w:p w:rsidR="006F4659" w:rsidRDefault="006F4659" w:rsidP="009817F6">
            <w:r>
              <w:t>(i.e. school-in-a-box kits; photocopy textbooks)</w:t>
            </w:r>
          </w:p>
        </w:tc>
        <w:tc>
          <w:tcPr>
            <w:tcW w:w="2268" w:type="dxa"/>
          </w:tcPr>
          <w:p w:rsidR="006F4659" w:rsidRDefault="006F4659" w:rsidP="009817F6"/>
        </w:tc>
        <w:tc>
          <w:tcPr>
            <w:tcW w:w="2126" w:type="dxa"/>
          </w:tcPr>
          <w:p w:rsidR="006F4659" w:rsidRDefault="006F4659" w:rsidP="009817F6"/>
        </w:tc>
        <w:tc>
          <w:tcPr>
            <w:tcW w:w="2552" w:type="dxa"/>
          </w:tcPr>
          <w:p w:rsidR="006F4659" w:rsidRDefault="006F4659" w:rsidP="009817F6"/>
        </w:tc>
        <w:tc>
          <w:tcPr>
            <w:tcW w:w="1984" w:type="dxa"/>
          </w:tcPr>
          <w:p w:rsidR="006F4659" w:rsidRDefault="006F4659" w:rsidP="009817F6"/>
        </w:tc>
        <w:tc>
          <w:tcPr>
            <w:tcW w:w="1985" w:type="dxa"/>
          </w:tcPr>
          <w:p w:rsidR="006F4659" w:rsidRDefault="006F4659" w:rsidP="009817F6"/>
        </w:tc>
      </w:tr>
      <w:tr w:rsidR="006F4659" w:rsidTr="00124494">
        <w:trPr>
          <w:trHeight w:val="1191"/>
        </w:trPr>
        <w:tc>
          <w:tcPr>
            <w:tcW w:w="3337" w:type="dxa"/>
          </w:tcPr>
          <w:p w:rsidR="006F4659" w:rsidRDefault="006F4659" w:rsidP="009817F6">
            <w:r>
              <w:t>6.  Rehabilitation and Construction of schools and Resumption of formal education</w:t>
            </w:r>
          </w:p>
        </w:tc>
        <w:tc>
          <w:tcPr>
            <w:tcW w:w="2268" w:type="dxa"/>
          </w:tcPr>
          <w:p w:rsidR="006F4659" w:rsidRDefault="006F4659" w:rsidP="009817F6"/>
        </w:tc>
        <w:tc>
          <w:tcPr>
            <w:tcW w:w="2126" w:type="dxa"/>
          </w:tcPr>
          <w:p w:rsidR="006F4659" w:rsidRDefault="006F4659" w:rsidP="009817F6"/>
        </w:tc>
        <w:tc>
          <w:tcPr>
            <w:tcW w:w="2552" w:type="dxa"/>
          </w:tcPr>
          <w:p w:rsidR="006F4659" w:rsidRDefault="006F4659" w:rsidP="009817F6"/>
        </w:tc>
        <w:tc>
          <w:tcPr>
            <w:tcW w:w="1984" w:type="dxa"/>
          </w:tcPr>
          <w:p w:rsidR="006F4659" w:rsidRDefault="006F4659" w:rsidP="009817F6"/>
        </w:tc>
        <w:tc>
          <w:tcPr>
            <w:tcW w:w="1985" w:type="dxa"/>
          </w:tcPr>
          <w:p w:rsidR="006F4659" w:rsidRDefault="006F4659" w:rsidP="009817F6"/>
        </w:tc>
      </w:tr>
    </w:tbl>
    <w:p w:rsidR="00463BB1" w:rsidRDefault="00463BB1" w:rsidP="002C7330">
      <w:pPr>
        <w:rPr>
          <w:rFonts w:ascii="Arial" w:hAnsi="Arial" w:cs="Arial"/>
          <w:b/>
          <w:sz w:val="28"/>
          <w:szCs w:val="28"/>
        </w:rPr>
      </w:pPr>
    </w:p>
    <w:p w:rsidR="006F4659" w:rsidRDefault="006F4659" w:rsidP="006F4659">
      <w:pPr>
        <w:pageBreakBefore/>
        <w:pBdr>
          <w:top w:val="single" w:sz="4" w:space="1" w:color="auto"/>
          <w:bottom w:val="single" w:sz="4" w:space="1" w:color="auto"/>
        </w:pBdr>
        <w:rPr>
          <w:rFonts w:ascii="Arial" w:hAnsi="Arial" w:cs="Arial"/>
          <w:b/>
          <w:sz w:val="28"/>
          <w:szCs w:val="28"/>
        </w:rPr>
        <w:sectPr w:rsidR="006F4659" w:rsidSect="006F4659">
          <w:pgSz w:w="16838" w:h="11906" w:orient="landscape"/>
          <w:pgMar w:top="1440" w:right="1440" w:bottom="1440" w:left="1440" w:header="720" w:footer="720" w:gutter="0"/>
          <w:cols w:space="720"/>
          <w:docGrid w:linePitch="360"/>
        </w:sectPr>
      </w:pPr>
    </w:p>
    <w:p w:rsidR="000F095B" w:rsidRDefault="002C7330" w:rsidP="006F4659">
      <w:pPr>
        <w:pageBreakBefore/>
        <w:pBdr>
          <w:top w:val="single" w:sz="4" w:space="1" w:color="auto"/>
          <w:bottom w:val="single" w:sz="4" w:space="1" w:color="auto"/>
        </w:pBdr>
        <w:rPr>
          <w:rFonts w:ascii="Arial" w:hAnsi="Arial" w:cs="Arial"/>
          <w:b/>
          <w:sz w:val="28"/>
          <w:szCs w:val="28"/>
        </w:rPr>
      </w:pPr>
      <w:r>
        <w:rPr>
          <w:rFonts w:ascii="Arial" w:hAnsi="Arial" w:cs="Arial"/>
          <w:b/>
          <w:sz w:val="28"/>
          <w:szCs w:val="28"/>
        </w:rPr>
        <w:lastRenderedPageBreak/>
        <w:t>Supplementary</w:t>
      </w:r>
      <w:r w:rsidR="000F095B">
        <w:rPr>
          <w:rFonts w:ascii="Arial" w:hAnsi="Arial" w:cs="Arial"/>
          <w:b/>
          <w:sz w:val="28"/>
          <w:szCs w:val="28"/>
        </w:rPr>
        <w:t xml:space="preserve"> Exercises</w:t>
      </w:r>
    </w:p>
    <w:p w:rsidR="000F095B" w:rsidRDefault="000F095B" w:rsidP="0064667C">
      <w:pPr>
        <w:rPr>
          <w:rFonts w:ascii="Arial" w:hAnsi="Arial" w:cs="Arial"/>
          <w:b/>
          <w:sz w:val="28"/>
          <w:szCs w:val="28"/>
        </w:rPr>
      </w:pPr>
    </w:p>
    <w:p w:rsidR="00D76FF5" w:rsidRPr="00EB6E7C" w:rsidRDefault="003A6323" w:rsidP="003A6323">
      <w:pPr>
        <w:pBdr>
          <w:top w:val="single" w:sz="4" w:space="1" w:color="auto"/>
          <w:bottom w:val="single" w:sz="12" w:space="1" w:color="auto"/>
        </w:pBdr>
      </w:pPr>
      <w:r>
        <w:rPr>
          <w:rFonts w:ascii="Arial" w:hAnsi="Arial" w:cs="Arial"/>
          <w:b/>
          <w:sz w:val="28"/>
          <w:szCs w:val="28"/>
        </w:rPr>
        <w:t xml:space="preserve">Exercise - </w:t>
      </w:r>
      <w:r w:rsidR="00847EAB">
        <w:rPr>
          <w:rFonts w:ascii="Arial" w:hAnsi="Arial" w:cs="Arial"/>
          <w:b/>
          <w:sz w:val="28"/>
          <w:szCs w:val="28"/>
        </w:rPr>
        <w:t>None</w:t>
      </w:r>
      <w:r w:rsidR="002C7330">
        <w:rPr>
          <w:rFonts w:ascii="Arial" w:hAnsi="Arial" w:cs="Arial"/>
          <w:b/>
          <w:sz w:val="28"/>
          <w:szCs w:val="28"/>
        </w:rPr>
        <w:t xml:space="preserve"> </w:t>
      </w:r>
    </w:p>
    <w:p w:rsidR="00D76FF5" w:rsidRDefault="00847EAB" w:rsidP="003A6323">
      <w:pPr>
        <w:pBdr>
          <w:top w:val="single" w:sz="4" w:space="1" w:color="auto"/>
          <w:bottom w:val="single" w:sz="12" w:space="1" w:color="auto"/>
        </w:pBdr>
        <w:rPr>
          <w:rFonts w:ascii="Arial" w:hAnsi="Arial" w:cs="Arial"/>
          <w:b/>
          <w:sz w:val="22"/>
          <w:szCs w:val="22"/>
        </w:rPr>
      </w:pPr>
      <w:r>
        <w:rPr>
          <w:rFonts w:ascii="Arial" w:hAnsi="Arial" w:cs="Arial"/>
          <w:b/>
          <w:sz w:val="22"/>
          <w:szCs w:val="22"/>
        </w:rPr>
        <w:t>0</w:t>
      </w:r>
      <w:r w:rsidR="00D76FF5" w:rsidRPr="00EB6E7C">
        <w:rPr>
          <w:rFonts w:ascii="Arial" w:hAnsi="Arial" w:cs="Arial"/>
          <w:b/>
          <w:sz w:val="22"/>
          <w:szCs w:val="22"/>
        </w:rPr>
        <w:t xml:space="preserve"> minutes</w:t>
      </w:r>
    </w:p>
    <w:p w:rsidR="003A6323" w:rsidRPr="00EB6E7C" w:rsidRDefault="003A6323" w:rsidP="003A6323">
      <w:pPr>
        <w:rPr>
          <w:rFonts w:ascii="Arial" w:hAnsi="Arial" w:cs="Arial"/>
          <w:b/>
          <w:sz w:val="22"/>
          <w:szCs w:val="22"/>
        </w:rPr>
      </w:pPr>
    </w:p>
    <w:tbl>
      <w:tblPr>
        <w:tblW w:w="5000" w:type="pct"/>
        <w:tblLayout w:type="fixed"/>
        <w:tblLook w:val="01E0"/>
      </w:tblPr>
      <w:tblGrid>
        <w:gridCol w:w="2898"/>
        <w:gridCol w:w="6344"/>
      </w:tblGrid>
      <w:tr w:rsidR="00D76FF5" w:rsidRPr="00EB6E7C" w:rsidTr="00037A4C">
        <w:tc>
          <w:tcPr>
            <w:tcW w:w="1568" w:type="pct"/>
          </w:tcPr>
          <w:p w:rsidR="00037A4C" w:rsidRPr="00037A4C" w:rsidRDefault="00037A4C" w:rsidP="00037A4C">
            <w:pPr>
              <w:spacing w:before="120" w:after="120"/>
              <w:rPr>
                <w:sz w:val="20"/>
                <w:szCs w:val="20"/>
              </w:rPr>
            </w:pPr>
          </w:p>
          <w:p w:rsidR="00037A4C" w:rsidRPr="00037A4C" w:rsidRDefault="00037A4C" w:rsidP="00037A4C">
            <w:pPr>
              <w:spacing w:before="120" w:after="120"/>
              <w:rPr>
                <w:sz w:val="20"/>
                <w:szCs w:val="20"/>
              </w:rPr>
            </w:pPr>
          </w:p>
          <w:p w:rsidR="00037A4C" w:rsidRPr="00037A4C" w:rsidRDefault="00037A4C" w:rsidP="00037A4C">
            <w:pPr>
              <w:spacing w:before="120" w:after="120"/>
              <w:rPr>
                <w:sz w:val="20"/>
                <w:szCs w:val="20"/>
              </w:rPr>
            </w:pPr>
          </w:p>
          <w:p w:rsidR="00D76FF5" w:rsidRPr="00037A4C" w:rsidRDefault="00D76FF5" w:rsidP="00037A4C">
            <w:pPr>
              <w:spacing w:before="120" w:after="120"/>
              <w:rPr>
                <w:rFonts w:cs="Arial"/>
                <w:sz w:val="20"/>
                <w:szCs w:val="20"/>
              </w:rPr>
            </w:pPr>
          </w:p>
        </w:tc>
        <w:tc>
          <w:tcPr>
            <w:tcW w:w="3432" w:type="pct"/>
          </w:tcPr>
          <w:p w:rsidR="003A6323" w:rsidRPr="003A6323" w:rsidRDefault="003A6323" w:rsidP="003A6323">
            <w:pPr>
              <w:spacing w:before="120"/>
              <w:jc w:val="both"/>
              <w:rPr>
                <w:rFonts w:ascii="Arial" w:hAnsi="Arial" w:cs="Arial"/>
                <w:sz w:val="20"/>
                <w:szCs w:val="20"/>
              </w:rPr>
            </w:pPr>
            <w:r w:rsidRPr="003A6323">
              <w:rPr>
                <w:rFonts w:ascii="Arial" w:hAnsi="Arial" w:cs="Arial"/>
                <w:b/>
                <w:i/>
                <w:sz w:val="20"/>
                <w:szCs w:val="20"/>
              </w:rPr>
              <w:t>Note to facilitator</w:t>
            </w:r>
            <w:r>
              <w:rPr>
                <w:rFonts w:ascii="Arial" w:hAnsi="Arial" w:cs="Arial"/>
                <w:b/>
                <w:i/>
                <w:sz w:val="20"/>
                <w:szCs w:val="20"/>
              </w:rPr>
              <w:t>s</w:t>
            </w:r>
            <w:r>
              <w:rPr>
                <w:rFonts w:ascii="Arial" w:hAnsi="Arial" w:cs="Arial"/>
                <w:sz w:val="20"/>
                <w:szCs w:val="20"/>
              </w:rPr>
              <w:t xml:space="preserve">:  </w:t>
            </w:r>
          </w:p>
          <w:p w:rsidR="00D76FF5" w:rsidRPr="00EB6E7C" w:rsidRDefault="00847EAB" w:rsidP="00847EAB">
            <w:pPr>
              <w:pStyle w:val="ListParagraph"/>
              <w:numPr>
                <w:ilvl w:val="0"/>
                <w:numId w:val="15"/>
              </w:numPr>
              <w:spacing w:before="120"/>
              <w:jc w:val="both"/>
              <w:rPr>
                <w:rFonts w:ascii="ArialMS" w:hAnsi="ArialMS" w:cs="ArialMS"/>
                <w:szCs w:val="22"/>
                <w:lang w:eastAsia="en-GB"/>
              </w:rPr>
            </w:pPr>
            <w:r>
              <w:rPr>
                <w:rFonts w:ascii="Arial" w:hAnsi="Arial" w:cs="Arial"/>
                <w:sz w:val="20"/>
                <w:szCs w:val="20"/>
              </w:rPr>
              <w:t>-</w:t>
            </w:r>
            <w:r w:rsidR="00D76FF5" w:rsidRPr="00037A4C">
              <w:rPr>
                <w:rFonts w:ascii="Arial" w:hAnsi="Arial" w:cs="Arial"/>
                <w:sz w:val="20"/>
                <w:szCs w:val="20"/>
              </w:rPr>
              <w:t xml:space="preserve"> </w:t>
            </w:r>
          </w:p>
        </w:tc>
      </w:tr>
    </w:tbl>
    <w:p w:rsidR="00D76FF5" w:rsidRPr="00EB6E7C" w:rsidRDefault="00D76FF5" w:rsidP="00D76FF5">
      <w:pPr>
        <w:jc w:val="both"/>
      </w:pPr>
    </w:p>
    <w:p w:rsidR="00A04181" w:rsidRPr="00813AD0" w:rsidRDefault="00A04181" w:rsidP="002B03E6">
      <w:pPr>
        <w:spacing w:after="200"/>
        <w:rPr>
          <w:rFonts w:ascii="Arial" w:hAnsi="Arial" w:cs="Arial"/>
          <w:sz w:val="20"/>
          <w:szCs w:val="20"/>
        </w:rPr>
      </w:pPr>
    </w:p>
    <w:p w:rsidR="00991E73" w:rsidRDefault="00991E73" w:rsidP="00342592">
      <w:pPr>
        <w:rPr>
          <w:i/>
        </w:rPr>
      </w:pPr>
    </w:p>
    <w:sectPr w:rsidR="00991E73" w:rsidSect="006F4659">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8EC" w:rsidRDefault="00C648EC" w:rsidP="002C7330">
      <w:pPr>
        <w:spacing w:line="240" w:lineRule="auto"/>
      </w:pPr>
      <w:r>
        <w:separator/>
      </w:r>
    </w:p>
  </w:endnote>
  <w:endnote w:type="continuationSeparator" w:id="0">
    <w:p w:rsidR="00C648EC" w:rsidRDefault="00C648EC" w:rsidP="002C733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ヒラギノ角ゴ Pro W3">
    <w:altName w:val="Arial Unicode MS"/>
    <w:panose1 w:val="00000000000000000000"/>
    <w:charset w:val="80"/>
    <w:family w:val="roman"/>
    <w:notTrueType/>
    <w:pitch w:val="default"/>
    <w:sig w:usb0="00000001"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pitch w:val="default"/>
    <w:sig w:usb0="00000000" w:usb1="00000000" w:usb2="00000000" w:usb3="00000000" w:csb0="00000000" w:csb1="00000000"/>
  </w:font>
  <w:font w:name="Arial Italic">
    <w:panose1 w:val="020B0604020202090204"/>
    <w:charset w:val="00"/>
    <w:family w:val="roman"/>
    <w:notTrueType/>
    <w:pitch w:val="default"/>
    <w:sig w:usb0="00000000" w:usb1="00000000" w:usb2="00000000" w:usb3="00000000" w:csb0="00000000" w:csb1="00000000"/>
  </w:font>
  <w:font w:name="ArialMS">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Italic" w:hAnsi="Arial Italic"/>
        <w:i/>
        <w:sz w:val="22"/>
      </w:rPr>
      <w:id w:val="15822851"/>
      <w:docPartObj>
        <w:docPartGallery w:val="Page Numbers (Bottom of Page)"/>
        <w:docPartUnique/>
      </w:docPartObj>
    </w:sdtPr>
    <w:sdtContent>
      <w:p w:rsidR="005C4AE0" w:rsidRPr="002C7330" w:rsidRDefault="0019737E">
        <w:pPr>
          <w:pStyle w:val="Footer"/>
          <w:jc w:val="center"/>
          <w:rPr>
            <w:rFonts w:ascii="Arial Italic" w:hAnsi="Arial Italic"/>
            <w:i/>
            <w:sz w:val="22"/>
          </w:rPr>
        </w:pPr>
        <w:r w:rsidRPr="002C7330">
          <w:rPr>
            <w:rFonts w:ascii="Arial Italic" w:hAnsi="Arial Italic"/>
            <w:i/>
            <w:sz w:val="22"/>
          </w:rPr>
          <w:fldChar w:fldCharType="begin"/>
        </w:r>
        <w:r w:rsidR="005C4AE0" w:rsidRPr="002C7330">
          <w:rPr>
            <w:rFonts w:ascii="Arial Italic" w:hAnsi="Arial Italic"/>
            <w:i/>
            <w:sz w:val="22"/>
          </w:rPr>
          <w:instrText xml:space="preserve"> PAGE   \* MERGEFORMAT </w:instrText>
        </w:r>
        <w:r w:rsidRPr="002C7330">
          <w:rPr>
            <w:rFonts w:ascii="Arial Italic" w:hAnsi="Arial Italic"/>
            <w:i/>
            <w:sz w:val="22"/>
          </w:rPr>
          <w:fldChar w:fldCharType="separate"/>
        </w:r>
        <w:r w:rsidR="00082B56">
          <w:rPr>
            <w:rFonts w:ascii="Arial Italic" w:hAnsi="Arial Italic"/>
            <w:i/>
            <w:noProof/>
            <w:sz w:val="22"/>
          </w:rPr>
          <w:t>6</w:t>
        </w:r>
        <w:r w:rsidRPr="002C7330">
          <w:rPr>
            <w:rFonts w:ascii="Arial Italic" w:hAnsi="Arial Italic"/>
            <w:i/>
            <w:sz w:val="2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8EC" w:rsidRDefault="00C648EC" w:rsidP="002C7330">
      <w:pPr>
        <w:spacing w:line="240" w:lineRule="auto"/>
      </w:pPr>
      <w:r>
        <w:separator/>
      </w:r>
    </w:p>
  </w:footnote>
  <w:footnote w:type="continuationSeparator" w:id="0">
    <w:p w:rsidR="00C648EC" w:rsidRDefault="00C648EC" w:rsidP="002C733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 o:bullet="t">
        <v:imagedata r:id="rId1" o:title="MCHH00279_0000[1]"/>
      </v:shape>
    </w:pict>
  </w:numPicBullet>
  <w:abstractNum w:abstractNumId="0">
    <w:nsid w:val="FFFFFF82"/>
    <w:multiLevelType w:val="singleLevel"/>
    <w:tmpl w:val="13A059D2"/>
    <w:lvl w:ilvl="0">
      <w:start w:val="1"/>
      <w:numFmt w:val="bullet"/>
      <w:pStyle w:val="ListBullet3"/>
      <w:lvlText w:val=""/>
      <w:lvlJc w:val="left"/>
      <w:pPr>
        <w:tabs>
          <w:tab w:val="num" w:pos="360"/>
        </w:tabs>
        <w:ind w:left="360" w:hanging="360"/>
      </w:pPr>
      <w:rPr>
        <w:rFonts w:ascii="Symbol" w:hAnsi="Symbol" w:hint="default"/>
      </w:rPr>
    </w:lvl>
  </w:abstractNum>
  <w:abstractNum w:abstractNumId="1">
    <w:nsid w:val="051A5DD8"/>
    <w:multiLevelType w:val="hybridMultilevel"/>
    <w:tmpl w:val="48B0E250"/>
    <w:lvl w:ilvl="0" w:tplc="C4347D82">
      <w:start w:val="1"/>
      <w:numFmt w:val="bullet"/>
      <w:lvlText w:val=""/>
      <w:lvlJc w:val="left"/>
      <w:pPr>
        <w:tabs>
          <w:tab w:val="num" w:pos="720"/>
        </w:tabs>
        <w:ind w:left="720" w:hanging="360"/>
      </w:pPr>
      <w:rPr>
        <w:rFonts w:ascii="Wingdings" w:hAnsi="Wingdings" w:cs="Courier New" w:hint="default"/>
      </w:rPr>
    </w:lvl>
    <w:lvl w:ilvl="1" w:tplc="C01A586A">
      <w:start w:val="1"/>
      <w:numFmt w:val="bullet"/>
      <w:lvlText w:val="-"/>
      <w:lvlJc w:val="left"/>
      <w:pPr>
        <w:tabs>
          <w:tab w:val="num" w:pos="1800"/>
        </w:tabs>
        <w:ind w:left="1800" w:hanging="360"/>
      </w:pPr>
      <w:rPr>
        <w:rFonts w:ascii="Arial" w:eastAsia="Times New Roman" w:hAnsi="Arial" w:cs="Arial" w:hint="default"/>
      </w:rPr>
    </w:lvl>
    <w:lvl w:ilvl="2" w:tplc="04090001">
      <w:start w:val="1"/>
      <w:numFmt w:val="bullet"/>
      <w:lvlText w:val=""/>
      <w:lvlJc w:val="left"/>
      <w:pPr>
        <w:tabs>
          <w:tab w:val="num" w:pos="2520"/>
        </w:tabs>
        <w:ind w:left="2520" w:hanging="360"/>
      </w:pPr>
      <w:rPr>
        <w:rFonts w:ascii="Symbol" w:hAnsi="Symbol"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6A22869"/>
    <w:multiLevelType w:val="hybridMultilevel"/>
    <w:tmpl w:val="0EC88A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A0664E"/>
    <w:multiLevelType w:val="hybridMultilevel"/>
    <w:tmpl w:val="6F5CB0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8F245F"/>
    <w:multiLevelType w:val="hybridMultilevel"/>
    <w:tmpl w:val="3DDCB33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4815C6"/>
    <w:multiLevelType w:val="hybridMultilevel"/>
    <w:tmpl w:val="EFF651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12DC430B"/>
    <w:multiLevelType w:val="hybridMultilevel"/>
    <w:tmpl w:val="2E04A11E"/>
    <w:lvl w:ilvl="0" w:tplc="6262BB5C">
      <w:start w:val="2"/>
      <w:numFmt w:val="bullet"/>
      <w:lvlText w:val="-"/>
      <w:lvlJc w:val="left"/>
      <w:pPr>
        <w:ind w:left="720" w:hanging="360"/>
      </w:pPr>
      <w:rPr>
        <w:rFonts w:ascii="Arial" w:eastAsia="ヒラギノ角ゴ Pro W3"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A923BE"/>
    <w:multiLevelType w:val="hybridMultilevel"/>
    <w:tmpl w:val="AC1C2EDA"/>
    <w:lvl w:ilvl="0" w:tplc="182CD042">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5B15E09"/>
    <w:multiLevelType w:val="hybridMultilevel"/>
    <w:tmpl w:val="4C6E9C4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751904"/>
    <w:multiLevelType w:val="hybridMultilevel"/>
    <w:tmpl w:val="5E4C23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EB374C"/>
    <w:multiLevelType w:val="hybridMultilevel"/>
    <w:tmpl w:val="74764C4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C37C75"/>
    <w:multiLevelType w:val="hybridMultilevel"/>
    <w:tmpl w:val="6158E33A"/>
    <w:lvl w:ilvl="0" w:tplc="04090001">
      <w:start w:val="1"/>
      <w:numFmt w:val="decimal"/>
      <w:lvlText w:val="%1."/>
      <w:lvlJc w:val="left"/>
      <w:pPr>
        <w:tabs>
          <w:tab w:val="num" w:pos="360"/>
        </w:tabs>
        <w:ind w:left="360" w:hanging="360"/>
      </w:pPr>
    </w:lvl>
    <w:lvl w:ilvl="1" w:tplc="04090003">
      <w:start w:val="1"/>
      <w:numFmt w:val="bullet"/>
      <w:lvlText w:val=""/>
      <w:lvlPicBulletId w:val="0"/>
      <w:lvlJc w:val="left"/>
      <w:pPr>
        <w:tabs>
          <w:tab w:val="num" w:pos="1080"/>
        </w:tabs>
        <w:ind w:left="1080" w:hanging="360"/>
      </w:pPr>
      <w:rPr>
        <w:rFonts w:ascii="Symbol" w:hAnsi="Symbol"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2">
    <w:nsid w:val="1EC517DE"/>
    <w:multiLevelType w:val="hybridMultilevel"/>
    <w:tmpl w:val="C31A52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250A3828"/>
    <w:multiLevelType w:val="hybridMultilevel"/>
    <w:tmpl w:val="10C478E4"/>
    <w:lvl w:ilvl="0" w:tplc="0409000F">
      <w:start w:val="1"/>
      <w:numFmt w:val="bullet"/>
      <w:lvlText w:val=""/>
      <w:lvlJc w:val="left"/>
      <w:pPr>
        <w:tabs>
          <w:tab w:val="num" w:pos="360"/>
        </w:tabs>
        <w:ind w:left="360" w:hanging="360"/>
      </w:pPr>
      <w:rPr>
        <w:rFonts w:ascii="Wingdings" w:hAnsi="Wingdings" w:hint="default"/>
      </w:rPr>
    </w:lvl>
    <w:lvl w:ilvl="1" w:tplc="C83E788E">
      <w:start w:val="1"/>
      <w:numFmt w:val="bullet"/>
      <w:lvlText w:val="o"/>
      <w:lvlJc w:val="left"/>
      <w:pPr>
        <w:tabs>
          <w:tab w:val="num" w:pos="1080"/>
        </w:tabs>
        <w:ind w:left="1080" w:hanging="360"/>
      </w:pPr>
      <w:rPr>
        <w:rFonts w:ascii="Courier New" w:hAnsi="Courier New" w:cs="Courier New" w:hint="default"/>
      </w:rPr>
    </w:lvl>
    <w:lvl w:ilvl="2" w:tplc="04090003"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4">
    <w:nsid w:val="2D2A70EE"/>
    <w:multiLevelType w:val="hybridMultilevel"/>
    <w:tmpl w:val="3DB6FFBA"/>
    <w:lvl w:ilvl="0" w:tplc="04090005">
      <w:start w:val="1"/>
      <w:numFmt w:val="decimal"/>
      <w:lvlText w:val="%1."/>
      <w:lvlJc w:val="left"/>
      <w:pPr>
        <w:tabs>
          <w:tab w:val="num" w:pos="720"/>
        </w:tabs>
        <w:ind w:left="720" w:hanging="360"/>
      </w:pPr>
    </w:lvl>
    <w:lvl w:ilvl="1" w:tplc="0409000F">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2F4931A6"/>
    <w:multiLevelType w:val="hybridMultilevel"/>
    <w:tmpl w:val="86F01E64"/>
    <w:lvl w:ilvl="0" w:tplc="D890BBA6">
      <w:start w:val="1"/>
      <w:numFmt w:val="decimal"/>
      <w:lvlText w:val="%1."/>
      <w:lvlJc w:val="left"/>
      <w:pPr>
        <w:ind w:left="360" w:hanging="360"/>
      </w:pPr>
      <w:rPr>
        <w:rFonts w:ascii="Arial" w:hAnsi="Arial" w:cs="Arial"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E459A1"/>
    <w:multiLevelType w:val="multilevel"/>
    <w:tmpl w:val="3BAA69D8"/>
    <w:lvl w:ilvl="0">
      <w:start w:val="1"/>
      <w:numFmt w:val="decimal"/>
      <w:pStyle w:val="dots"/>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1B9359A"/>
    <w:multiLevelType w:val="hybridMultilevel"/>
    <w:tmpl w:val="27065346"/>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Lucida Grande"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Lucida Grande"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Lucida Grande"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369653A5"/>
    <w:multiLevelType w:val="hybridMultilevel"/>
    <w:tmpl w:val="9EF238F6"/>
    <w:lvl w:ilvl="0" w:tplc="04090001">
      <w:start w:val="1"/>
      <w:numFmt w:val="bullet"/>
      <w:lvlText w:val=""/>
      <w:lvlJc w:val="left"/>
      <w:pPr>
        <w:tabs>
          <w:tab w:val="num" w:pos="720"/>
        </w:tabs>
        <w:ind w:left="720" w:hanging="360"/>
      </w:pPr>
      <w:rPr>
        <w:rFonts w:ascii="Wingdings" w:hAnsi="Wingdings" w:hint="default"/>
      </w:rPr>
    </w:lvl>
    <w:lvl w:ilvl="1" w:tplc="0409000F">
      <w:start w:val="1"/>
      <w:numFmt w:val="bullet"/>
      <w:lvlText w:val=""/>
      <w:lvlJc w:val="left"/>
      <w:pPr>
        <w:tabs>
          <w:tab w:val="num" w:pos="1440"/>
        </w:tabs>
        <w:ind w:left="1440" w:hanging="360"/>
      </w:pPr>
      <w:rPr>
        <w:rFonts w:ascii="Webdings" w:hAnsi="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373D0B"/>
    <w:multiLevelType w:val="hybridMultilevel"/>
    <w:tmpl w:val="9800DB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C58485A"/>
    <w:multiLevelType w:val="hybridMultilevel"/>
    <w:tmpl w:val="416ADCF6"/>
    <w:lvl w:ilvl="0" w:tplc="0409000F">
      <w:start w:val="1"/>
      <w:numFmt w:val="decimal"/>
      <w:lvlText w:val="%1."/>
      <w:lvlJc w:val="left"/>
      <w:pPr>
        <w:tabs>
          <w:tab w:val="num" w:pos="360"/>
        </w:tabs>
        <w:ind w:left="360" w:hanging="360"/>
      </w:pPr>
      <w:rPr>
        <w:rFonts w:hint="default"/>
      </w:rPr>
    </w:lvl>
    <w:lvl w:ilvl="1" w:tplc="CC20A346">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425F0348"/>
    <w:multiLevelType w:val="hybridMultilevel"/>
    <w:tmpl w:val="78BC44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FD24C6"/>
    <w:multiLevelType w:val="hybridMultilevel"/>
    <w:tmpl w:val="02E0CE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4160B6"/>
    <w:multiLevelType w:val="hybridMultilevel"/>
    <w:tmpl w:val="F67C9296"/>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Lucida Grande"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Lucida Grande"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Lucida Grande"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457267A5"/>
    <w:multiLevelType w:val="hybridMultilevel"/>
    <w:tmpl w:val="FD82E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7A6FC3"/>
    <w:multiLevelType w:val="hybridMultilevel"/>
    <w:tmpl w:val="D7741E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AE27259"/>
    <w:multiLevelType w:val="hybridMultilevel"/>
    <w:tmpl w:val="3CB682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D446CB9"/>
    <w:multiLevelType w:val="hybridMultilevel"/>
    <w:tmpl w:val="63762E7A"/>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360"/>
        </w:tabs>
        <w:ind w:left="36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2E5594"/>
    <w:multiLevelType w:val="hybridMultilevel"/>
    <w:tmpl w:val="BE3816E2"/>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29">
    <w:nsid w:val="55BA7DA9"/>
    <w:multiLevelType w:val="multilevel"/>
    <w:tmpl w:val="297CC166"/>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nsid w:val="55EF6BDF"/>
    <w:multiLevelType w:val="hybridMultilevel"/>
    <w:tmpl w:val="359E6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CF45084"/>
    <w:multiLevelType w:val="hybridMultilevel"/>
    <w:tmpl w:val="54BABB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34B7324"/>
    <w:multiLevelType w:val="hybridMultilevel"/>
    <w:tmpl w:val="164CB038"/>
    <w:lvl w:ilvl="0" w:tplc="08090001">
      <w:start w:val="1"/>
      <w:numFmt w:val="bullet"/>
      <w:lvlText w:val=""/>
      <w:lvlJc w:val="left"/>
      <w:pPr>
        <w:ind w:left="-351" w:hanging="360"/>
      </w:pPr>
      <w:rPr>
        <w:rFonts w:ascii="Symbol" w:hAnsi="Symbol" w:hint="default"/>
      </w:rPr>
    </w:lvl>
    <w:lvl w:ilvl="1" w:tplc="08090003" w:tentative="1">
      <w:start w:val="1"/>
      <w:numFmt w:val="bullet"/>
      <w:lvlText w:val="o"/>
      <w:lvlJc w:val="left"/>
      <w:pPr>
        <w:ind w:left="369" w:hanging="360"/>
      </w:pPr>
      <w:rPr>
        <w:rFonts w:ascii="Courier New" w:hAnsi="Courier New" w:cs="Courier New" w:hint="default"/>
      </w:rPr>
    </w:lvl>
    <w:lvl w:ilvl="2" w:tplc="08090005" w:tentative="1">
      <w:start w:val="1"/>
      <w:numFmt w:val="bullet"/>
      <w:lvlText w:val=""/>
      <w:lvlJc w:val="left"/>
      <w:pPr>
        <w:ind w:left="1089" w:hanging="360"/>
      </w:pPr>
      <w:rPr>
        <w:rFonts w:ascii="Wingdings" w:hAnsi="Wingdings" w:hint="default"/>
      </w:rPr>
    </w:lvl>
    <w:lvl w:ilvl="3" w:tplc="08090001" w:tentative="1">
      <w:start w:val="1"/>
      <w:numFmt w:val="bullet"/>
      <w:lvlText w:val=""/>
      <w:lvlJc w:val="left"/>
      <w:pPr>
        <w:ind w:left="1809" w:hanging="360"/>
      </w:pPr>
      <w:rPr>
        <w:rFonts w:ascii="Symbol" w:hAnsi="Symbol" w:hint="default"/>
      </w:rPr>
    </w:lvl>
    <w:lvl w:ilvl="4" w:tplc="08090003" w:tentative="1">
      <w:start w:val="1"/>
      <w:numFmt w:val="bullet"/>
      <w:lvlText w:val="o"/>
      <w:lvlJc w:val="left"/>
      <w:pPr>
        <w:ind w:left="2529" w:hanging="360"/>
      </w:pPr>
      <w:rPr>
        <w:rFonts w:ascii="Courier New" w:hAnsi="Courier New" w:cs="Courier New" w:hint="default"/>
      </w:rPr>
    </w:lvl>
    <w:lvl w:ilvl="5" w:tplc="08090005" w:tentative="1">
      <w:start w:val="1"/>
      <w:numFmt w:val="bullet"/>
      <w:lvlText w:val=""/>
      <w:lvlJc w:val="left"/>
      <w:pPr>
        <w:ind w:left="3249" w:hanging="360"/>
      </w:pPr>
      <w:rPr>
        <w:rFonts w:ascii="Wingdings" w:hAnsi="Wingdings" w:hint="default"/>
      </w:rPr>
    </w:lvl>
    <w:lvl w:ilvl="6" w:tplc="08090001" w:tentative="1">
      <w:start w:val="1"/>
      <w:numFmt w:val="bullet"/>
      <w:lvlText w:val=""/>
      <w:lvlJc w:val="left"/>
      <w:pPr>
        <w:ind w:left="3969" w:hanging="360"/>
      </w:pPr>
      <w:rPr>
        <w:rFonts w:ascii="Symbol" w:hAnsi="Symbol" w:hint="default"/>
      </w:rPr>
    </w:lvl>
    <w:lvl w:ilvl="7" w:tplc="08090003" w:tentative="1">
      <w:start w:val="1"/>
      <w:numFmt w:val="bullet"/>
      <w:lvlText w:val="o"/>
      <w:lvlJc w:val="left"/>
      <w:pPr>
        <w:ind w:left="4689" w:hanging="360"/>
      </w:pPr>
      <w:rPr>
        <w:rFonts w:ascii="Courier New" w:hAnsi="Courier New" w:cs="Courier New" w:hint="default"/>
      </w:rPr>
    </w:lvl>
    <w:lvl w:ilvl="8" w:tplc="08090005" w:tentative="1">
      <w:start w:val="1"/>
      <w:numFmt w:val="bullet"/>
      <w:lvlText w:val=""/>
      <w:lvlJc w:val="left"/>
      <w:pPr>
        <w:ind w:left="5409" w:hanging="360"/>
      </w:pPr>
      <w:rPr>
        <w:rFonts w:ascii="Wingdings" w:hAnsi="Wingdings" w:hint="default"/>
      </w:rPr>
    </w:lvl>
  </w:abstractNum>
  <w:abstractNum w:abstractNumId="33">
    <w:nsid w:val="67F45817"/>
    <w:multiLevelType w:val="hybridMultilevel"/>
    <w:tmpl w:val="13947DB0"/>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90C4821"/>
    <w:multiLevelType w:val="hybridMultilevel"/>
    <w:tmpl w:val="D7383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BD52536"/>
    <w:multiLevelType w:val="hybridMultilevel"/>
    <w:tmpl w:val="A76A30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CA25EDB"/>
    <w:multiLevelType w:val="hybridMultilevel"/>
    <w:tmpl w:val="30A48A3E"/>
    <w:lvl w:ilvl="0" w:tplc="04090001">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Webdings" w:hAnsi="Webdings" w:hint="default"/>
      </w:rPr>
    </w:lvl>
    <w:lvl w:ilvl="2" w:tplc="E1005BE2"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72284260"/>
    <w:multiLevelType w:val="hybridMultilevel"/>
    <w:tmpl w:val="569062C6"/>
    <w:lvl w:ilvl="0" w:tplc="0409000F">
      <w:start w:val="1"/>
      <w:numFmt w:val="decimal"/>
      <w:lvlText w:val="%1."/>
      <w:lvlJc w:val="left"/>
      <w:pPr>
        <w:tabs>
          <w:tab w:val="num" w:pos="360"/>
        </w:tabs>
        <w:ind w:left="360" w:hanging="360"/>
      </w:pPr>
      <w:rPr>
        <w:rFonts w:hint="default"/>
      </w:rPr>
    </w:lvl>
    <w:lvl w:ilvl="1" w:tplc="08090017">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755472BA"/>
    <w:multiLevelType w:val="hybridMultilevel"/>
    <w:tmpl w:val="1186BBF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E4095"/>
    <w:multiLevelType w:val="hybridMultilevel"/>
    <w:tmpl w:val="A1500C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0">
    <w:nsid w:val="79AA484C"/>
    <w:multiLevelType w:val="hybridMultilevel"/>
    <w:tmpl w:val="916438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60145F"/>
    <w:multiLevelType w:val="hybridMultilevel"/>
    <w:tmpl w:val="78BEB0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2"/>
  </w:num>
  <w:num w:numId="3">
    <w:abstractNumId w:val="8"/>
  </w:num>
  <w:num w:numId="4">
    <w:abstractNumId w:val="36"/>
  </w:num>
  <w:num w:numId="5">
    <w:abstractNumId w:val="29"/>
  </w:num>
  <w:num w:numId="6">
    <w:abstractNumId w:val="11"/>
  </w:num>
  <w:num w:numId="7">
    <w:abstractNumId w:val="2"/>
  </w:num>
  <w:num w:numId="8">
    <w:abstractNumId w:val="39"/>
  </w:num>
  <w:num w:numId="9">
    <w:abstractNumId w:val="28"/>
  </w:num>
  <w:num w:numId="10">
    <w:abstractNumId w:val="14"/>
  </w:num>
  <w:num w:numId="11">
    <w:abstractNumId w:val="24"/>
  </w:num>
  <w:num w:numId="12">
    <w:abstractNumId w:val="13"/>
  </w:num>
  <w:num w:numId="13">
    <w:abstractNumId w:val="18"/>
  </w:num>
  <w:num w:numId="14">
    <w:abstractNumId w:val="7"/>
  </w:num>
  <w:num w:numId="15">
    <w:abstractNumId w:val="15"/>
  </w:num>
  <w:num w:numId="16">
    <w:abstractNumId w:val="0"/>
  </w:num>
  <w:num w:numId="17">
    <w:abstractNumId w:val="1"/>
  </w:num>
  <w:num w:numId="18">
    <w:abstractNumId w:val="27"/>
  </w:num>
  <w:num w:numId="19">
    <w:abstractNumId w:val="20"/>
  </w:num>
  <w:num w:numId="20">
    <w:abstractNumId w:val="22"/>
  </w:num>
  <w:num w:numId="21">
    <w:abstractNumId w:val="26"/>
  </w:num>
  <w:num w:numId="22">
    <w:abstractNumId w:val="33"/>
  </w:num>
  <w:num w:numId="23">
    <w:abstractNumId w:val="9"/>
  </w:num>
  <w:num w:numId="24">
    <w:abstractNumId w:val="21"/>
  </w:num>
  <w:num w:numId="25">
    <w:abstractNumId w:val="41"/>
  </w:num>
  <w:num w:numId="26">
    <w:abstractNumId w:val="38"/>
  </w:num>
  <w:num w:numId="27">
    <w:abstractNumId w:val="19"/>
  </w:num>
  <w:num w:numId="28">
    <w:abstractNumId w:val="25"/>
  </w:num>
  <w:num w:numId="29">
    <w:abstractNumId w:val="35"/>
  </w:num>
  <w:num w:numId="30">
    <w:abstractNumId w:val="10"/>
  </w:num>
  <w:num w:numId="31">
    <w:abstractNumId w:val="31"/>
  </w:num>
  <w:num w:numId="32">
    <w:abstractNumId w:val="4"/>
  </w:num>
  <w:num w:numId="33">
    <w:abstractNumId w:val="5"/>
  </w:num>
  <w:num w:numId="34">
    <w:abstractNumId w:val="30"/>
  </w:num>
  <w:num w:numId="35">
    <w:abstractNumId w:val="34"/>
  </w:num>
  <w:num w:numId="36">
    <w:abstractNumId w:val="16"/>
  </w:num>
  <w:num w:numId="37">
    <w:abstractNumId w:val="16"/>
  </w:num>
  <w:num w:numId="38">
    <w:abstractNumId w:val="16"/>
  </w:num>
  <w:num w:numId="39">
    <w:abstractNumId w:val="16"/>
  </w:num>
  <w:num w:numId="40">
    <w:abstractNumId w:val="16"/>
  </w:num>
  <w:num w:numId="41">
    <w:abstractNumId w:val="6"/>
  </w:num>
  <w:num w:numId="42">
    <w:abstractNumId w:val="17"/>
  </w:num>
  <w:num w:numId="43">
    <w:abstractNumId w:val="3"/>
  </w:num>
  <w:num w:numId="44">
    <w:abstractNumId w:val="40"/>
  </w:num>
  <w:num w:numId="45">
    <w:abstractNumId w:val="23"/>
  </w:num>
  <w:num w:numId="46">
    <w:abstractNumId w:val="32"/>
  </w:num>
  <w:num w:numId="47">
    <w:abstractNumId w:val="37"/>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A4579D"/>
    <w:rsid w:val="0000781D"/>
    <w:rsid w:val="000126AE"/>
    <w:rsid w:val="0001503B"/>
    <w:rsid w:val="00017CE3"/>
    <w:rsid w:val="0003547E"/>
    <w:rsid w:val="00037A4C"/>
    <w:rsid w:val="00042451"/>
    <w:rsid w:val="00042D9A"/>
    <w:rsid w:val="0004748E"/>
    <w:rsid w:val="0006088D"/>
    <w:rsid w:val="00070259"/>
    <w:rsid w:val="0007704D"/>
    <w:rsid w:val="00082B56"/>
    <w:rsid w:val="000A5441"/>
    <w:rsid w:val="000B1EAE"/>
    <w:rsid w:val="000B744A"/>
    <w:rsid w:val="000C033A"/>
    <w:rsid w:val="000C28C3"/>
    <w:rsid w:val="000C3604"/>
    <w:rsid w:val="000D3DB8"/>
    <w:rsid w:val="000E74F3"/>
    <w:rsid w:val="000F095B"/>
    <w:rsid w:val="00112670"/>
    <w:rsid w:val="00114079"/>
    <w:rsid w:val="001208B7"/>
    <w:rsid w:val="00124494"/>
    <w:rsid w:val="00127AE4"/>
    <w:rsid w:val="00154996"/>
    <w:rsid w:val="00175970"/>
    <w:rsid w:val="00181A0F"/>
    <w:rsid w:val="0018566E"/>
    <w:rsid w:val="00187125"/>
    <w:rsid w:val="0019737E"/>
    <w:rsid w:val="001A1605"/>
    <w:rsid w:val="001A3B9B"/>
    <w:rsid w:val="001A594F"/>
    <w:rsid w:val="001B6DB7"/>
    <w:rsid w:val="001C191D"/>
    <w:rsid w:val="001C2E8A"/>
    <w:rsid w:val="002020E7"/>
    <w:rsid w:val="0020671B"/>
    <w:rsid w:val="0021403B"/>
    <w:rsid w:val="00223CC6"/>
    <w:rsid w:val="00226A14"/>
    <w:rsid w:val="00232549"/>
    <w:rsid w:val="00253B56"/>
    <w:rsid w:val="00265FE6"/>
    <w:rsid w:val="002733AD"/>
    <w:rsid w:val="00273DEC"/>
    <w:rsid w:val="00274A13"/>
    <w:rsid w:val="00275191"/>
    <w:rsid w:val="00284D8D"/>
    <w:rsid w:val="0029650C"/>
    <w:rsid w:val="00297C5A"/>
    <w:rsid w:val="002A5A7F"/>
    <w:rsid w:val="002A5F7D"/>
    <w:rsid w:val="002A6F64"/>
    <w:rsid w:val="002B03E6"/>
    <w:rsid w:val="002C3293"/>
    <w:rsid w:val="002C7330"/>
    <w:rsid w:val="002D2E39"/>
    <w:rsid w:val="002D573A"/>
    <w:rsid w:val="002D7FE2"/>
    <w:rsid w:val="002E46E1"/>
    <w:rsid w:val="002F036D"/>
    <w:rsid w:val="002F381D"/>
    <w:rsid w:val="003031CD"/>
    <w:rsid w:val="00303CA5"/>
    <w:rsid w:val="00322C92"/>
    <w:rsid w:val="00325259"/>
    <w:rsid w:val="003270F7"/>
    <w:rsid w:val="00327FCF"/>
    <w:rsid w:val="00335839"/>
    <w:rsid w:val="00342592"/>
    <w:rsid w:val="003436EB"/>
    <w:rsid w:val="00350311"/>
    <w:rsid w:val="00352DDA"/>
    <w:rsid w:val="0035511F"/>
    <w:rsid w:val="00356802"/>
    <w:rsid w:val="00363AA2"/>
    <w:rsid w:val="00365B03"/>
    <w:rsid w:val="00370235"/>
    <w:rsid w:val="00370A1A"/>
    <w:rsid w:val="00372FAA"/>
    <w:rsid w:val="003A1F1C"/>
    <w:rsid w:val="003A6323"/>
    <w:rsid w:val="003A6736"/>
    <w:rsid w:val="003B29D2"/>
    <w:rsid w:val="003B7280"/>
    <w:rsid w:val="003D4A10"/>
    <w:rsid w:val="003E0456"/>
    <w:rsid w:val="003E6BE6"/>
    <w:rsid w:val="004035C0"/>
    <w:rsid w:val="00405D98"/>
    <w:rsid w:val="0040737A"/>
    <w:rsid w:val="00443B98"/>
    <w:rsid w:val="00446FDE"/>
    <w:rsid w:val="00463BB1"/>
    <w:rsid w:val="004653AE"/>
    <w:rsid w:val="00473168"/>
    <w:rsid w:val="00494DCC"/>
    <w:rsid w:val="004A6399"/>
    <w:rsid w:val="004D20E6"/>
    <w:rsid w:val="004D7E3D"/>
    <w:rsid w:val="004F3204"/>
    <w:rsid w:val="004F45F6"/>
    <w:rsid w:val="005055A5"/>
    <w:rsid w:val="0051083C"/>
    <w:rsid w:val="005201BE"/>
    <w:rsid w:val="00525445"/>
    <w:rsid w:val="005300C6"/>
    <w:rsid w:val="0055175F"/>
    <w:rsid w:val="00552864"/>
    <w:rsid w:val="00561C67"/>
    <w:rsid w:val="00564977"/>
    <w:rsid w:val="00567DE8"/>
    <w:rsid w:val="00571248"/>
    <w:rsid w:val="0058253A"/>
    <w:rsid w:val="00585CB6"/>
    <w:rsid w:val="005A1F8C"/>
    <w:rsid w:val="005A28C2"/>
    <w:rsid w:val="005B4848"/>
    <w:rsid w:val="005B5625"/>
    <w:rsid w:val="005C4AE0"/>
    <w:rsid w:val="005C54BD"/>
    <w:rsid w:val="005E5883"/>
    <w:rsid w:val="005F3F82"/>
    <w:rsid w:val="00604AB2"/>
    <w:rsid w:val="00606CE8"/>
    <w:rsid w:val="00621942"/>
    <w:rsid w:val="006312B5"/>
    <w:rsid w:val="00641E3B"/>
    <w:rsid w:val="0064667C"/>
    <w:rsid w:val="006613B3"/>
    <w:rsid w:val="00686B54"/>
    <w:rsid w:val="00697726"/>
    <w:rsid w:val="006B2BF4"/>
    <w:rsid w:val="006B3064"/>
    <w:rsid w:val="006C2E37"/>
    <w:rsid w:val="006C67C5"/>
    <w:rsid w:val="006C729D"/>
    <w:rsid w:val="006D49F6"/>
    <w:rsid w:val="006D4AAD"/>
    <w:rsid w:val="006F1AE6"/>
    <w:rsid w:val="006F4659"/>
    <w:rsid w:val="007000F8"/>
    <w:rsid w:val="00706FE7"/>
    <w:rsid w:val="00716B39"/>
    <w:rsid w:val="0071770E"/>
    <w:rsid w:val="0072128B"/>
    <w:rsid w:val="00723E93"/>
    <w:rsid w:val="007251F4"/>
    <w:rsid w:val="00725350"/>
    <w:rsid w:val="0073671A"/>
    <w:rsid w:val="00743107"/>
    <w:rsid w:val="0074495A"/>
    <w:rsid w:val="007511D1"/>
    <w:rsid w:val="007524FB"/>
    <w:rsid w:val="0076007F"/>
    <w:rsid w:val="007628EC"/>
    <w:rsid w:val="00763FA4"/>
    <w:rsid w:val="00764240"/>
    <w:rsid w:val="00765BAF"/>
    <w:rsid w:val="00770233"/>
    <w:rsid w:val="007718CE"/>
    <w:rsid w:val="00774564"/>
    <w:rsid w:val="00777821"/>
    <w:rsid w:val="00784FEF"/>
    <w:rsid w:val="007930FB"/>
    <w:rsid w:val="007D0CAC"/>
    <w:rsid w:val="007D5A57"/>
    <w:rsid w:val="007E0201"/>
    <w:rsid w:val="007E3301"/>
    <w:rsid w:val="007E49F0"/>
    <w:rsid w:val="00803238"/>
    <w:rsid w:val="00813AD0"/>
    <w:rsid w:val="008147B4"/>
    <w:rsid w:val="00814B3D"/>
    <w:rsid w:val="00825B30"/>
    <w:rsid w:val="00847EAB"/>
    <w:rsid w:val="0085035B"/>
    <w:rsid w:val="00866EAE"/>
    <w:rsid w:val="00876D18"/>
    <w:rsid w:val="008817FD"/>
    <w:rsid w:val="00884521"/>
    <w:rsid w:val="00892F65"/>
    <w:rsid w:val="008A22B6"/>
    <w:rsid w:val="008B0912"/>
    <w:rsid w:val="008B38B7"/>
    <w:rsid w:val="008D06C1"/>
    <w:rsid w:val="008E2F68"/>
    <w:rsid w:val="008E3936"/>
    <w:rsid w:val="008E6C38"/>
    <w:rsid w:val="0091359F"/>
    <w:rsid w:val="00935DBE"/>
    <w:rsid w:val="0093742D"/>
    <w:rsid w:val="00951243"/>
    <w:rsid w:val="0096593E"/>
    <w:rsid w:val="00966B73"/>
    <w:rsid w:val="00982028"/>
    <w:rsid w:val="009824B2"/>
    <w:rsid w:val="00985CB2"/>
    <w:rsid w:val="00991E73"/>
    <w:rsid w:val="009933F8"/>
    <w:rsid w:val="009B15AA"/>
    <w:rsid w:val="009D0900"/>
    <w:rsid w:val="009E00E0"/>
    <w:rsid w:val="00A01198"/>
    <w:rsid w:val="00A04181"/>
    <w:rsid w:val="00A2228F"/>
    <w:rsid w:val="00A37282"/>
    <w:rsid w:val="00A44615"/>
    <w:rsid w:val="00A4579D"/>
    <w:rsid w:val="00A5182E"/>
    <w:rsid w:val="00A53332"/>
    <w:rsid w:val="00A64105"/>
    <w:rsid w:val="00A64BEC"/>
    <w:rsid w:val="00A65DE9"/>
    <w:rsid w:val="00A72630"/>
    <w:rsid w:val="00A82176"/>
    <w:rsid w:val="00A93186"/>
    <w:rsid w:val="00A95CF9"/>
    <w:rsid w:val="00A95D72"/>
    <w:rsid w:val="00A97117"/>
    <w:rsid w:val="00AA6A34"/>
    <w:rsid w:val="00AA6FFE"/>
    <w:rsid w:val="00AF1F72"/>
    <w:rsid w:val="00AF387F"/>
    <w:rsid w:val="00AF6989"/>
    <w:rsid w:val="00AF7085"/>
    <w:rsid w:val="00B022CE"/>
    <w:rsid w:val="00B12237"/>
    <w:rsid w:val="00B17063"/>
    <w:rsid w:val="00B70913"/>
    <w:rsid w:val="00B7725A"/>
    <w:rsid w:val="00B92D7A"/>
    <w:rsid w:val="00B93919"/>
    <w:rsid w:val="00B95452"/>
    <w:rsid w:val="00B95FA2"/>
    <w:rsid w:val="00B97389"/>
    <w:rsid w:val="00BA19BC"/>
    <w:rsid w:val="00BA79B1"/>
    <w:rsid w:val="00BC0468"/>
    <w:rsid w:val="00BF5CD5"/>
    <w:rsid w:val="00C014D2"/>
    <w:rsid w:val="00C01A53"/>
    <w:rsid w:val="00C144FA"/>
    <w:rsid w:val="00C31274"/>
    <w:rsid w:val="00C43841"/>
    <w:rsid w:val="00C43F13"/>
    <w:rsid w:val="00C44B28"/>
    <w:rsid w:val="00C45901"/>
    <w:rsid w:val="00C47581"/>
    <w:rsid w:val="00C62400"/>
    <w:rsid w:val="00C648EC"/>
    <w:rsid w:val="00C6735F"/>
    <w:rsid w:val="00C72F64"/>
    <w:rsid w:val="00C85393"/>
    <w:rsid w:val="00C87842"/>
    <w:rsid w:val="00C91351"/>
    <w:rsid w:val="00C960FE"/>
    <w:rsid w:val="00CA503F"/>
    <w:rsid w:val="00CA5266"/>
    <w:rsid w:val="00CB04C4"/>
    <w:rsid w:val="00CB1CAC"/>
    <w:rsid w:val="00CD23ED"/>
    <w:rsid w:val="00CD37BB"/>
    <w:rsid w:val="00CD442E"/>
    <w:rsid w:val="00CE5DBE"/>
    <w:rsid w:val="00CF52C2"/>
    <w:rsid w:val="00D01B62"/>
    <w:rsid w:val="00D122A6"/>
    <w:rsid w:val="00D128CC"/>
    <w:rsid w:val="00D14907"/>
    <w:rsid w:val="00D1531D"/>
    <w:rsid w:val="00D17F6B"/>
    <w:rsid w:val="00D24822"/>
    <w:rsid w:val="00D32EDB"/>
    <w:rsid w:val="00D336C5"/>
    <w:rsid w:val="00D36B2F"/>
    <w:rsid w:val="00D418A8"/>
    <w:rsid w:val="00D42EA9"/>
    <w:rsid w:val="00D67533"/>
    <w:rsid w:val="00D710F2"/>
    <w:rsid w:val="00D76FF5"/>
    <w:rsid w:val="00D8396F"/>
    <w:rsid w:val="00D96DC1"/>
    <w:rsid w:val="00DA17C9"/>
    <w:rsid w:val="00DA2A02"/>
    <w:rsid w:val="00DC6B2A"/>
    <w:rsid w:val="00DE525F"/>
    <w:rsid w:val="00DF49AF"/>
    <w:rsid w:val="00E130C1"/>
    <w:rsid w:val="00E13642"/>
    <w:rsid w:val="00E25EBA"/>
    <w:rsid w:val="00E422E1"/>
    <w:rsid w:val="00E45F77"/>
    <w:rsid w:val="00E4777D"/>
    <w:rsid w:val="00E5708B"/>
    <w:rsid w:val="00E6029D"/>
    <w:rsid w:val="00E65FAD"/>
    <w:rsid w:val="00E66810"/>
    <w:rsid w:val="00E84EC8"/>
    <w:rsid w:val="00E86819"/>
    <w:rsid w:val="00E86D23"/>
    <w:rsid w:val="00EA54FC"/>
    <w:rsid w:val="00EB2C81"/>
    <w:rsid w:val="00EB4122"/>
    <w:rsid w:val="00EB6E7C"/>
    <w:rsid w:val="00EC6EE8"/>
    <w:rsid w:val="00F0144E"/>
    <w:rsid w:val="00F22E7A"/>
    <w:rsid w:val="00F32F76"/>
    <w:rsid w:val="00F34F54"/>
    <w:rsid w:val="00F45CC1"/>
    <w:rsid w:val="00F45DC2"/>
    <w:rsid w:val="00F4656B"/>
    <w:rsid w:val="00F55BF2"/>
    <w:rsid w:val="00F960A8"/>
    <w:rsid w:val="00F971BC"/>
    <w:rsid w:val="00FB6403"/>
    <w:rsid w:val="00FC3A46"/>
    <w:rsid w:val="00FD5904"/>
    <w:rsid w:val="00FE54AA"/>
    <w:rsid w:val="00FF693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4" fill="f" fillcolor="white">
      <v:fill color="white" on="f"/>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List" w:uiPriority="0"/>
    <w:lsdException w:name="List Bullet 3" w:uiPriority="0"/>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2E"/>
    <w:pPr>
      <w:spacing w:after="0"/>
    </w:pPr>
  </w:style>
  <w:style w:type="paragraph" w:styleId="Heading1">
    <w:name w:val="heading 1"/>
    <w:basedOn w:val="Normal"/>
    <w:next w:val="Normal"/>
    <w:link w:val="Heading1Char"/>
    <w:uiPriority w:val="9"/>
    <w:qFormat/>
    <w:rsid w:val="003B2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76F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D17F6B"/>
    <w:pPr>
      <w:keepNext/>
      <w:spacing w:before="240" w:after="60" w:line="240" w:lineRule="auto"/>
      <w:outlineLvl w:val="2"/>
    </w:pPr>
    <w:rPr>
      <w:rFonts w:ascii="Arial" w:eastAsia="Times New Roman" w:hAnsi="Arial"/>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9D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22E7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E7A"/>
    <w:rPr>
      <w:rFonts w:ascii="Tahoma" w:hAnsi="Tahoma" w:cs="Tahoma"/>
      <w:sz w:val="16"/>
      <w:szCs w:val="16"/>
    </w:rPr>
  </w:style>
  <w:style w:type="paragraph" w:styleId="ListParagraph">
    <w:name w:val="List Paragraph"/>
    <w:basedOn w:val="Normal"/>
    <w:uiPriority w:val="99"/>
    <w:qFormat/>
    <w:rsid w:val="00F22E7A"/>
    <w:pPr>
      <w:ind w:left="720"/>
      <w:contextualSpacing/>
    </w:pPr>
  </w:style>
  <w:style w:type="character" w:customStyle="1" w:styleId="Heading3Char">
    <w:name w:val="Heading 3 Char"/>
    <w:basedOn w:val="DefaultParagraphFont"/>
    <w:link w:val="Heading3"/>
    <w:rsid w:val="00D17F6B"/>
    <w:rPr>
      <w:rFonts w:ascii="Arial" w:eastAsia="Times New Roman" w:hAnsi="Arial"/>
      <w:b/>
      <w:kern w:val="28"/>
      <w:szCs w:val="20"/>
    </w:rPr>
  </w:style>
  <w:style w:type="paragraph" w:customStyle="1" w:styleId="dots">
    <w:name w:val="dots"/>
    <w:basedOn w:val="Normal"/>
    <w:rsid w:val="00D17F6B"/>
    <w:pPr>
      <w:numPr>
        <w:numId w:val="1"/>
      </w:numPr>
      <w:spacing w:line="240" w:lineRule="auto"/>
    </w:pPr>
    <w:rPr>
      <w:rFonts w:ascii="Times" w:eastAsia="Times" w:hAnsi="Times"/>
      <w:szCs w:val="20"/>
    </w:rPr>
  </w:style>
  <w:style w:type="character" w:customStyle="1" w:styleId="boldstatesm">
    <w:name w:val="bold state sm"/>
    <w:basedOn w:val="DefaultParagraphFont"/>
    <w:autoRedefine/>
    <w:rsid w:val="00D17F6B"/>
    <w:rPr>
      <w:rFonts w:ascii="Arial" w:hAnsi="Arial"/>
      <w:b/>
      <w:spacing w:val="10"/>
      <w:sz w:val="20"/>
      <w:bdr w:val="none" w:sz="0" w:space="0" w:color="auto"/>
      <w:shd w:val="clear" w:color="auto" w:fill="auto"/>
    </w:rPr>
  </w:style>
  <w:style w:type="paragraph" w:customStyle="1" w:styleId="aimobsm">
    <w:name w:val="aim/ob sm"/>
    <w:basedOn w:val="Normal"/>
    <w:rsid w:val="00D17F6B"/>
    <w:pPr>
      <w:keepNext/>
      <w:pBdr>
        <w:top w:val="single" w:sz="12" w:space="1" w:color="auto"/>
      </w:pBdr>
      <w:shd w:val="clear" w:color="auto" w:fill="FFFFFF"/>
      <w:tabs>
        <w:tab w:val="left" w:pos="1418"/>
        <w:tab w:val="left" w:pos="1985"/>
        <w:tab w:val="left" w:pos="2268"/>
        <w:tab w:val="left" w:pos="2552"/>
      </w:tabs>
      <w:spacing w:line="240" w:lineRule="auto"/>
      <w:ind w:right="193"/>
    </w:pPr>
    <w:rPr>
      <w:rFonts w:ascii="Arial Black" w:eastAsia="Times New Roman" w:hAnsi="Arial Black"/>
      <w:color w:val="000000"/>
      <w:kern w:val="28"/>
      <w:sz w:val="22"/>
      <w:szCs w:val="36"/>
    </w:rPr>
  </w:style>
  <w:style w:type="paragraph" w:customStyle="1" w:styleId="space">
    <w:name w:val="space"/>
    <w:rsid w:val="00D17F6B"/>
    <w:pPr>
      <w:spacing w:before="20" w:after="20" w:line="240" w:lineRule="auto"/>
      <w:ind w:right="51"/>
    </w:pPr>
    <w:rPr>
      <w:rFonts w:ascii="Times" w:eastAsia="Times" w:hAnsi="Times"/>
      <w:noProof/>
      <w:sz w:val="20"/>
      <w:szCs w:val="20"/>
    </w:rPr>
  </w:style>
  <w:style w:type="character" w:customStyle="1" w:styleId="Heading2Char">
    <w:name w:val="Heading 2 Char"/>
    <w:basedOn w:val="DefaultParagraphFont"/>
    <w:link w:val="Heading2"/>
    <w:uiPriority w:val="9"/>
    <w:semiHidden/>
    <w:rsid w:val="00D76FF5"/>
    <w:rPr>
      <w:rFonts w:asciiTheme="majorHAnsi" w:eastAsiaTheme="majorEastAsia" w:hAnsiTheme="majorHAnsi" w:cstheme="majorBidi"/>
      <w:b/>
      <w:bCs/>
      <w:color w:val="4F81BD" w:themeColor="accent1"/>
      <w:sz w:val="26"/>
      <w:szCs w:val="26"/>
    </w:rPr>
  </w:style>
  <w:style w:type="paragraph" w:customStyle="1" w:styleId="SPBody2">
    <w:name w:val="SP Body2"/>
    <w:basedOn w:val="BodyText"/>
    <w:rsid w:val="00D76FF5"/>
    <w:pPr>
      <w:spacing w:before="40" w:after="0" w:line="240" w:lineRule="auto"/>
    </w:pPr>
    <w:rPr>
      <w:rFonts w:ascii="Arial" w:eastAsia="Times New Roman" w:hAnsi="Arial"/>
      <w:color w:val="000000"/>
      <w:kern w:val="20"/>
      <w:sz w:val="22"/>
      <w:szCs w:val="20"/>
    </w:rPr>
  </w:style>
  <w:style w:type="paragraph" w:styleId="BodyText">
    <w:name w:val="Body Text"/>
    <w:basedOn w:val="Normal"/>
    <w:link w:val="BodyTextChar"/>
    <w:uiPriority w:val="99"/>
    <w:semiHidden/>
    <w:unhideWhenUsed/>
    <w:rsid w:val="00D76FF5"/>
    <w:pPr>
      <w:spacing w:after="120"/>
    </w:pPr>
  </w:style>
  <w:style w:type="character" w:customStyle="1" w:styleId="BodyTextChar">
    <w:name w:val="Body Text Char"/>
    <w:basedOn w:val="DefaultParagraphFont"/>
    <w:link w:val="BodyText"/>
    <w:uiPriority w:val="99"/>
    <w:semiHidden/>
    <w:rsid w:val="00D76FF5"/>
  </w:style>
  <w:style w:type="paragraph" w:customStyle="1" w:styleId="Char">
    <w:name w:val="Char"/>
    <w:basedOn w:val="Normal"/>
    <w:rsid w:val="00372FAA"/>
    <w:pPr>
      <w:spacing w:after="160" w:line="240" w:lineRule="exact"/>
    </w:pPr>
    <w:rPr>
      <w:rFonts w:ascii="Arial" w:eastAsia="Times New Roman" w:hAnsi="Arial" w:cs="Arial"/>
      <w:sz w:val="20"/>
      <w:szCs w:val="20"/>
    </w:rPr>
  </w:style>
  <w:style w:type="table" w:styleId="TableGrid">
    <w:name w:val="Table Grid"/>
    <w:basedOn w:val="TableNormal"/>
    <w:uiPriority w:val="59"/>
    <w:rsid w:val="00372FAA"/>
    <w:pPr>
      <w:spacing w:after="0" w:line="240" w:lineRule="auto"/>
    </w:pPr>
    <w:rPr>
      <w:rFonts w:eastAsia="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2C7330"/>
    <w:pPr>
      <w:tabs>
        <w:tab w:val="center" w:pos="4680"/>
        <w:tab w:val="right" w:pos="9360"/>
      </w:tabs>
      <w:spacing w:line="240" w:lineRule="auto"/>
    </w:pPr>
  </w:style>
  <w:style w:type="character" w:customStyle="1" w:styleId="HeaderChar">
    <w:name w:val="Header Char"/>
    <w:basedOn w:val="DefaultParagraphFont"/>
    <w:link w:val="Header"/>
    <w:rsid w:val="002C7330"/>
  </w:style>
  <w:style w:type="paragraph" w:styleId="Footer">
    <w:name w:val="footer"/>
    <w:basedOn w:val="Normal"/>
    <w:link w:val="FooterChar"/>
    <w:uiPriority w:val="99"/>
    <w:unhideWhenUsed/>
    <w:rsid w:val="002C7330"/>
    <w:pPr>
      <w:tabs>
        <w:tab w:val="center" w:pos="4680"/>
        <w:tab w:val="right" w:pos="9360"/>
      </w:tabs>
      <w:spacing w:line="240" w:lineRule="auto"/>
    </w:pPr>
  </w:style>
  <w:style w:type="character" w:customStyle="1" w:styleId="FooterChar">
    <w:name w:val="Footer Char"/>
    <w:basedOn w:val="DefaultParagraphFont"/>
    <w:link w:val="Footer"/>
    <w:uiPriority w:val="99"/>
    <w:rsid w:val="002C7330"/>
  </w:style>
  <w:style w:type="paragraph" w:styleId="BodyText2">
    <w:name w:val="Body Text 2"/>
    <w:basedOn w:val="Normal"/>
    <w:link w:val="BodyText2Char"/>
    <w:uiPriority w:val="99"/>
    <w:semiHidden/>
    <w:unhideWhenUsed/>
    <w:rsid w:val="008E2F68"/>
    <w:pPr>
      <w:spacing w:after="120" w:line="480" w:lineRule="auto"/>
    </w:pPr>
  </w:style>
  <w:style w:type="character" w:customStyle="1" w:styleId="BodyText2Char">
    <w:name w:val="Body Text 2 Char"/>
    <w:basedOn w:val="DefaultParagraphFont"/>
    <w:link w:val="BodyText2"/>
    <w:uiPriority w:val="99"/>
    <w:semiHidden/>
    <w:rsid w:val="008E2F68"/>
  </w:style>
  <w:style w:type="character" w:styleId="CommentReference">
    <w:name w:val="annotation reference"/>
    <w:basedOn w:val="DefaultParagraphFont"/>
    <w:semiHidden/>
    <w:rsid w:val="00743107"/>
    <w:rPr>
      <w:sz w:val="16"/>
      <w:szCs w:val="16"/>
    </w:rPr>
  </w:style>
  <w:style w:type="paragraph" w:styleId="BodyTextIndent">
    <w:name w:val="Body Text Indent"/>
    <w:basedOn w:val="Normal"/>
    <w:link w:val="BodyTextIndentChar"/>
    <w:uiPriority w:val="99"/>
    <w:semiHidden/>
    <w:unhideWhenUsed/>
    <w:rsid w:val="00991E73"/>
    <w:pPr>
      <w:spacing w:after="120" w:line="240" w:lineRule="auto"/>
      <w:ind w:left="283"/>
    </w:pPr>
    <w:rPr>
      <w:rFonts w:ascii="Times" w:eastAsia="Times" w:hAnsi="Times"/>
      <w:szCs w:val="20"/>
    </w:rPr>
  </w:style>
  <w:style w:type="character" w:customStyle="1" w:styleId="BodyTextIndentChar">
    <w:name w:val="Body Text Indent Char"/>
    <w:basedOn w:val="DefaultParagraphFont"/>
    <w:link w:val="BodyTextIndent"/>
    <w:uiPriority w:val="99"/>
    <w:semiHidden/>
    <w:rsid w:val="00991E73"/>
    <w:rPr>
      <w:rFonts w:ascii="Times" w:eastAsia="Times" w:hAnsi="Times"/>
      <w:szCs w:val="20"/>
    </w:rPr>
  </w:style>
  <w:style w:type="paragraph" w:styleId="BodyText3">
    <w:name w:val="Body Text 3"/>
    <w:basedOn w:val="Normal"/>
    <w:link w:val="BodyText3Char"/>
    <w:rsid w:val="00991E73"/>
    <w:pPr>
      <w:spacing w:after="120" w:line="240" w:lineRule="auto"/>
    </w:pPr>
    <w:rPr>
      <w:rFonts w:eastAsia="Times New Roman"/>
      <w:sz w:val="16"/>
      <w:szCs w:val="16"/>
      <w:lang w:val="en-US"/>
    </w:rPr>
  </w:style>
  <w:style w:type="character" w:customStyle="1" w:styleId="BodyText3Char">
    <w:name w:val="Body Text 3 Char"/>
    <w:basedOn w:val="DefaultParagraphFont"/>
    <w:link w:val="BodyText3"/>
    <w:rsid w:val="00991E73"/>
    <w:rPr>
      <w:rFonts w:eastAsia="Times New Roman"/>
      <w:sz w:val="16"/>
      <w:szCs w:val="16"/>
      <w:lang w:val="en-US"/>
    </w:rPr>
  </w:style>
  <w:style w:type="paragraph" w:styleId="Subtitle">
    <w:name w:val="Subtitle"/>
    <w:basedOn w:val="Normal"/>
    <w:link w:val="SubtitleChar"/>
    <w:qFormat/>
    <w:rsid w:val="00991E73"/>
    <w:pPr>
      <w:spacing w:line="240" w:lineRule="auto"/>
      <w:jc w:val="center"/>
    </w:pPr>
    <w:rPr>
      <w:rFonts w:eastAsia="Times New Roman"/>
      <w:b/>
      <w:bCs/>
      <w:lang w:val="en-US"/>
    </w:rPr>
  </w:style>
  <w:style w:type="character" w:customStyle="1" w:styleId="SubtitleChar">
    <w:name w:val="Subtitle Char"/>
    <w:basedOn w:val="DefaultParagraphFont"/>
    <w:link w:val="Subtitle"/>
    <w:rsid w:val="00991E73"/>
    <w:rPr>
      <w:rFonts w:eastAsia="Times New Roman"/>
      <w:b/>
      <w:bCs/>
      <w:lang w:val="en-US"/>
    </w:rPr>
  </w:style>
  <w:style w:type="paragraph" w:styleId="ListBullet3">
    <w:name w:val="List Bullet 3"/>
    <w:basedOn w:val="Normal"/>
    <w:link w:val="ListBullet3Char"/>
    <w:rsid w:val="007628EC"/>
    <w:pPr>
      <w:numPr>
        <w:numId w:val="16"/>
      </w:numPr>
      <w:spacing w:line="240" w:lineRule="auto"/>
    </w:pPr>
    <w:rPr>
      <w:rFonts w:ascii="Times" w:eastAsia="Times" w:hAnsi="Times"/>
      <w:lang w:val="en-US"/>
    </w:rPr>
  </w:style>
  <w:style w:type="character" w:customStyle="1" w:styleId="ListBullet3Char">
    <w:name w:val="List Bullet 3 Char"/>
    <w:basedOn w:val="DefaultParagraphFont"/>
    <w:link w:val="ListBullet3"/>
    <w:rsid w:val="007628EC"/>
    <w:rPr>
      <w:rFonts w:ascii="Times" w:eastAsia="Times" w:hAnsi="Times"/>
      <w:lang w:val="en-US"/>
    </w:rPr>
  </w:style>
  <w:style w:type="paragraph" w:styleId="HTMLPreformatted">
    <w:name w:val="HTML Preformatted"/>
    <w:basedOn w:val="Normal"/>
    <w:link w:val="HTMLPreformattedChar"/>
    <w:rsid w:val="00DF4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DF49AF"/>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F960A8"/>
    <w:rPr>
      <w:color w:val="0000FF" w:themeColor="hyperlink"/>
      <w:u w:val="single"/>
    </w:rPr>
  </w:style>
  <w:style w:type="paragraph" w:customStyle="1" w:styleId="FreeForm">
    <w:name w:val="Free Form"/>
    <w:rsid w:val="003E6BE6"/>
    <w:rPr>
      <w:rFonts w:eastAsia="ヒラギノ角ゴ Pro W3"/>
      <w:color w:val="000000"/>
      <w:szCs w:val="20"/>
    </w:rPr>
  </w:style>
  <w:style w:type="paragraph" w:styleId="List">
    <w:name w:val="List"/>
    <w:rsid w:val="008B0912"/>
    <w:pPr>
      <w:suppressAutoHyphens/>
      <w:spacing w:after="0" w:line="240" w:lineRule="auto"/>
      <w:ind w:left="360" w:hanging="360"/>
    </w:pPr>
    <w:rPr>
      <w:rFonts w:eastAsia="ヒラギノ角ゴ Pro W3"/>
      <w:color w:val="000000"/>
      <w:szCs w:val="20"/>
      <w:lang w:val="en-US"/>
    </w:rPr>
  </w:style>
</w:styles>
</file>

<file path=word/webSettings.xml><?xml version="1.0" encoding="utf-8"?>
<w:webSettings xmlns:r="http://schemas.openxmlformats.org/officeDocument/2006/relationships" xmlns:w="http://schemas.openxmlformats.org/wordprocessingml/2006/main">
  <w:divs>
    <w:div w:id="206458071">
      <w:bodyDiv w:val="1"/>
      <w:marLeft w:val="0"/>
      <w:marRight w:val="0"/>
      <w:marTop w:val="0"/>
      <w:marBottom w:val="0"/>
      <w:divBdr>
        <w:top w:val="none" w:sz="0" w:space="0" w:color="auto"/>
        <w:left w:val="none" w:sz="0" w:space="0" w:color="auto"/>
        <w:bottom w:val="none" w:sz="0" w:space="0" w:color="auto"/>
        <w:right w:val="none" w:sz="0" w:space="0" w:color="auto"/>
      </w:divBdr>
      <w:divsChild>
        <w:div w:id="286816073">
          <w:marLeft w:val="1685"/>
          <w:marRight w:val="0"/>
          <w:marTop w:val="96"/>
          <w:marBottom w:val="0"/>
          <w:divBdr>
            <w:top w:val="none" w:sz="0" w:space="0" w:color="auto"/>
            <w:left w:val="none" w:sz="0" w:space="0" w:color="auto"/>
            <w:bottom w:val="none" w:sz="0" w:space="0" w:color="auto"/>
            <w:right w:val="none" w:sz="0" w:space="0" w:color="auto"/>
          </w:divBdr>
        </w:div>
        <w:div w:id="1454128220">
          <w:marLeft w:val="1685"/>
          <w:marRight w:val="0"/>
          <w:marTop w:val="96"/>
          <w:marBottom w:val="0"/>
          <w:divBdr>
            <w:top w:val="none" w:sz="0" w:space="0" w:color="auto"/>
            <w:left w:val="none" w:sz="0" w:space="0" w:color="auto"/>
            <w:bottom w:val="none" w:sz="0" w:space="0" w:color="auto"/>
            <w:right w:val="none" w:sz="0" w:space="0" w:color="auto"/>
          </w:divBdr>
        </w:div>
        <w:div w:id="741755123">
          <w:marLeft w:val="1685"/>
          <w:marRight w:val="0"/>
          <w:marTop w:val="96"/>
          <w:marBottom w:val="0"/>
          <w:divBdr>
            <w:top w:val="none" w:sz="0" w:space="0" w:color="auto"/>
            <w:left w:val="none" w:sz="0" w:space="0" w:color="auto"/>
            <w:bottom w:val="none" w:sz="0" w:space="0" w:color="auto"/>
            <w:right w:val="none" w:sz="0" w:space="0" w:color="auto"/>
          </w:divBdr>
        </w:div>
        <w:div w:id="835340024">
          <w:marLeft w:val="1685"/>
          <w:marRight w:val="0"/>
          <w:marTop w:val="96"/>
          <w:marBottom w:val="0"/>
          <w:divBdr>
            <w:top w:val="none" w:sz="0" w:space="0" w:color="auto"/>
            <w:left w:val="none" w:sz="0" w:space="0" w:color="auto"/>
            <w:bottom w:val="none" w:sz="0" w:space="0" w:color="auto"/>
            <w:right w:val="none" w:sz="0" w:space="0" w:color="auto"/>
          </w:divBdr>
        </w:div>
        <w:div w:id="698701103">
          <w:marLeft w:val="1685"/>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08DD4-A6AF-4DC6-B693-003FB5E61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9</Pages>
  <Words>2985</Words>
  <Characters>17021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19967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jsparkes</dc:creator>
  <cp:lastModifiedBy>James Sparkes</cp:lastModifiedBy>
  <cp:revision>32</cp:revision>
  <cp:lastPrinted>2010-06-18T10:37:00Z</cp:lastPrinted>
  <dcterms:created xsi:type="dcterms:W3CDTF">2010-08-23T17:03:00Z</dcterms:created>
  <dcterms:modified xsi:type="dcterms:W3CDTF">2010-12-07T15:25:00Z</dcterms:modified>
</cp:coreProperties>
</file>