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4C" w:rsidRPr="003737D9" w:rsidRDefault="0073694C" w:rsidP="0073694C">
      <w:pPr>
        <w:widowControl/>
        <w:autoSpaceDE w:val="0"/>
        <w:autoSpaceDN w:val="0"/>
        <w:adjustRightInd w:val="0"/>
        <w:spacing w:after="0" w:line="240" w:lineRule="auto"/>
        <w:rPr>
          <w:rFonts w:ascii="MyriadPro-BoldCond" w:hAnsi="MyriadPro-BoldCond" w:cs="MyriadPro-BoldCond"/>
          <w:b/>
          <w:bCs/>
          <w:sz w:val="24"/>
          <w:szCs w:val="24"/>
          <w:lang w:val="fr-FR"/>
        </w:rPr>
      </w:pPr>
    </w:p>
    <w:p w:rsidR="0073694C" w:rsidRPr="003737D9" w:rsidRDefault="0073694C" w:rsidP="0073694C">
      <w:pPr>
        <w:widowControl/>
        <w:autoSpaceDE w:val="0"/>
        <w:autoSpaceDN w:val="0"/>
        <w:adjustRightInd w:val="0"/>
        <w:spacing w:after="0" w:line="240" w:lineRule="auto"/>
        <w:jc w:val="right"/>
        <w:rPr>
          <w:rFonts w:ascii="MyriadPro-BoldCond" w:hAnsi="MyriadPro-BoldCond" w:cs="MyriadPro-BoldCond"/>
          <w:b/>
          <w:bCs/>
          <w:color w:val="FF0000"/>
          <w:sz w:val="24"/>
          <w:szCs w:val="24"/>
          <w:lang w:val="fr-FR"/>
        </w:rPr>
      </w:pPr>
      <w:r w:rsidRPr="003737D9">
        <w:rPr>
          <w:rFonts w:ascii="MyriadPro-BoldCond" w:hAnsi="MyriadPro-BoldCond" w:cs="MyriadPro-BoldCond"/>
          <w:b/>
          <w:bCs/>
          <w:color w:val="FF0000"/>
          <w:sz w:val="24"/>
          <w:szCs w:val="24"/>
          <w:lang w:val="fr-FR"/>
        </w:rPr>
        <w:t>Normes minimales pour l'éducation :</w:t>
      </w:r>
    </w:p>
    <w:p w:rsidR="0073694C" w:rsidRPr="003737D9" w:rsidRDefault="00232CE3" w:rsidP="0073694C">
      <w:pPr>
        <w:jc w:val="right"/>
        <w:rPr>
          <w:rFonts w:ascii="MyriadPro-BoldCond" w:hAnsi="MyriadPro-BoldCond" w:cs="MyriadPro-BoldCond"/>
          <w:b/>
          <w:bCs/>
          <w:color w:val="FF0000"/>
          <w:sz w:val="24"/>
          <w:szCs w:val="24"/>
          <w:lang w:val="fr-FR"/>
        </w:rPr>
      </w:pPr>
      <w:r>
        <w:rPr>
          <w:rFonts w:ascii="MyriadPro-BoldCond" w:hAnsi="MyriadPro-BoldCond" w:cs="MyriadPro-BoldCond"/>
          <w:b/>
          <w:bCs/>
          <w:color w:val="FF0000"/>
          <w:sz w:val="24"/>
          <w:szCs w:val="24"/>
          <w:lang w:val="fr-FR"/>
        </w:rPr>
        <w:t xml:space="preserve">Préparation, </w:t>
      </w:r>
      <w:r w:rsidR="0073694C" w:rsidRPr="003737D9">
        <w:rPr>
          <w:rFonts w:ascii="MyriadPro-BoldCond" w:hAnsi="MyriadPro-BoldCond" w:cs="MyriadPro-BoldCond"/>
          <w:b/>
          <w:bCs/>
          <w:color w:val="FF0000"/>
          <w:sz w:val="24"/>
          <w:szCs w:val="24"/>
          <w:lang w:val="fr-FR"/>
        </w:rPr>
        <w:t xml:space="preserve">interventions, relèvement </w:t>
      </w:r>
    </w:p>
    <w:p w:rsidR="0073694C" w:rsidRPr="003737D9" w:rsidRDefault="0073694C"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r w:rsidRPr="003737D9">
        <w:rPr>
          <w:rFonts w:ascii="MyriadPro-SemiboldCond" w:hAnsi="MyriadPro-SemiboldCond" w:cs="MyriadPro-SemiboldCond"/>
          <w:b/>
          <w:color w:val="0070C0"/>
          <w:sz w:val="28"/>
          <w:szCs w:val="28"/>
          <w:lang w:val="fr-FR"/>
        </w:rPr>
        <w:t>Normes fondamentales</w:t>
      </w:r>
    </w:p>
    <w:p w:rsidR="0073694C" w:rsidRPr="003737D9" w:rsidRDefault="00232CE3" w:rsidP="0073694C">
      <w:pPr>
        <w:jc w:val="center"/>
        <w:rPr>
          <w:rFonts w:ascii="MyriadPro-Cond" w:hAnsi="MyriadPro-Cond" w:cs="MyriadPro-Cond"/>
          <w:color w:val="0070C0"/>
          <w:sz w:val="24"/>
          <w:szCs w:val="24"/>
          <w:lang w:val="fr-FR"/>
        </w:rPr>
      </w:pPr>
      <w:r>
        <w:rPr>
          <w:rFonts w:ascii="MyriadPro-BoldCond" w:hAnsi="MyriadPro-BoldCond" w:cs="MyriadPro-BoldCond"/>
          <w:b/>
          <w:bCs/>
          <w:color w:val="0070C0"/>
          <w:sz w:val="24"/>
          <w:szCs w:val="24"/>
          <w:lang w:val="fr-FR"/>
        </w:rPr>
        <w:t>Normes relatives à</w:t>
      </w:r>
      <w:r w:rsidR="0073694C" w:rsidRPr="003737D9">
        <w:rPr>
          <w:rFonts w:ascii="MyriadPro-BoldCond" w:hAnsi="MyriadPro-BoldCond" w:cs="MyriadPro-BoldCond"/>
          <w:b/>
          <w:bCs/>
          <w:color w:val="0070C0"/>
          <w:sz w:val="24"/>
          <w:szCs w:val="24"/>
          <w:lang w:val="fr-FR"/>
        </w:rPr>
        <w:t xml:space="preserve"> la participation communautaire </w:t>
      </w:r>
      <w:r w:rsidR="0073694C" w:rsidRPr="003737D9">
        <w:rPr>
          <w:rFonts w:ascii="MyriadPro-Cond" w:hAnsi="MyriadPro-Cond" w:cs="MyriadPro-Cond"/>
          <w:color w:val="0070C0"/>
          <w:sz w:val="24"/>
          <w:szCs w:val="24"/>
          <w:lang w:val="fr-FR"/>
        </w:rPr>
        <w:t xml:space="preserve">: Participation et ressources – </w:t>
      </w:r>
      <w:r w:rsidR="0073694C" w:rsidRPr="003737D9">
        <w:rPr>
          <w:rFonts w:ascii="MyriadPro-BoldCond" w:hAnsi="MyriadPro-BoldCond" w:cs="MyriadPro-BoldCond"/>
          <w:b/>
          <w:bCs/>
          <w:color w:val="0070C0"/>
          <w:sz w:val="24"/>
          <w:szCs w:val="24"/>
          <w:lang w:val="fr-FR"/>
        </w:rPr>
        <w:t xml:space="preserve">Norme relative à la coordination </w:t>
      </w:r>
      <w:r w:rsidR="0073694C" w:rsidRPr="003737D9">
        <w:rPr>
          <w:rFonts w:ascii="MyriadPro-Cond" w:hAnsi="MyriadPro-Cond" w:cs="MyriadPro-Cond"/>
          <w:color w:val="0070C0"/>
          <w:sz w:val="24"/>
          <w:szCs w:val="24"/>
          <w:lang w:val="fr-FR"/>
        </w:rPr>
        <w:t xml:space="preserve">: Coordination – </w:t>
      </w:r>
      <w:r w:rsidR="0073694C" w:rsidRPr="003737D9">
        <w:rPr>
          <w:rFonts w:ascii="MyriadPro-BoldCond" w:hAnsi="MyriadPro-BoldCond" w:cs="MyriadPro-BoldCond"/>
          <w:b/>
          <w:bCs/>
          <w:color w:val="0070C0"/>
          <w:sz w:val="24"/>
          <w:szCs w:val="24"/>
          <w:lang w:val="fr-FR"/>
        </w:rPr>
        <w:t xml:space="preserve">Normes relative à l'analyse </w:t>
      </w:r>
      <w:r w:rsidR="0073694C" w:rsidRPr="003737D9">
        <w:rPr>
          <w:rFonts w:ascii="MyriadPro-Cond" w:hAnsi="MyriadPro-Cond" w:cs="MyriadPro-Cond"/>
          <w:color w:val="0070C0"/>
          <w:sz w:val="24"/>
          <w:szCs w:val="24"/>
          <w:lang w:val="fr-FR"/>
        </w:rPr>
        <w:t xml:space="preserve">: </w:t>
      </w:r>
      <w:r>
        <w:rPr>
          <w:rFonts w:ascii="MyriadPro-Cond" w:hAnsi="MyriadPro-Cond" w:cs="MyriadPro-Cond"/>
          <w:color w:val="0070C0"/>
          <w:sz w:val="24"/>
          <w:szCs w:val="24"/>
          <w:lang w:val="fr-FR"/>
        </w:rPr>
        <w:t>Évaluation, stratégie</w:t>
      </w:r>
      <w:r w:rsidR="0073694C" w:rsidRPr="003737D9">
        <w:rPr>
          <w:rFonts w:ascii="MyriadPro-Cond" w:hAnsi="MyriadPro-Cond" w:cs="MyriadPro-Cond"/>
          <w:color w:val="0070C0"/>
          <w:sz w:val="24"/>
          <w:szCs w:val="24"/>
          <w:lang w:val="fr-FR"/>
        </w:rPr>
        <w:t xml:space="preserve"> d'intervention, suivi et évaluation</w:t>
      </w:r>
    </w:p>
    <w:p w:rsidR="0073694C" w:rsidRPr="003737D9" w:rsidRDefault="0073694C" w:rsidP="0073694C">
      <w:pPr>
        <w:rPr>
          <w:rFonts w:ascii="MyriadPro-Cond" w:hAnsi="MyriadPro-Cond" w:cs="MyriadPro-Cond"/>
          <w:b/>
          <w:sz w:val="28"/>
          <w:szCs w:val="28"/>
          <w:lang w:val="fr-FR"/>
        </w:rPr>
      </w:pPr>
    </w:p>
    <w:p w:rsidR="0073694C" w:rsidRPr="003737D9" w:rsidRDefault="0073694C" w:rsidP="0073694C">
      <w:pPr>
        <w:jc w:val="center"/>
        <w:rPr>
          <w:rFonts w:ascii="MyriadPro-SemiboldCond" w:hAnsi="MyriadPro-SemiboldCond" w:cs="MyriadPro-SemiboldCond"/>
          <w:b/>
          <w:color w:val="0070C0"/>
          <w:sz w:val="28"/>
          <w:szCs w:val="28"/>
          <w:lang w:val="fr-FR"/>
        </w:rPr>
      </w:pPr>
      <w:r w:rsidRPr="003737D9">
        <w:rPr>
          <w:rFonts w:ascii="MyriadPro-SemiboldCond" w:hAnsi="MyriadPro-SemiboldCond" w:cs="MyriadPro-SemiboldCond"/>
          <w:b/>
          <w:color w:val="0070C0"/>
          <w:sz w:val="28"/>
          <w:szCs w:val="28"/>
          <w:lang w:val="fr-FR"/>
        </w:rPr>
        <w:t>Accès et environnement d’apprentissage</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1 : Égalité d’accès </w:t>
      </w:r>
      <w:r w:rsidRPr="003737D9">
        <w:rPr>
          <w:rFonts w:ascii="MyriadPro-Cond" w:hAnsi="MyriadPro-Cond" w:cs="MyriadPro-Cond"/>
          <w:sz w:val="24"/>
          <w:szCs w:val="24"/>
          <w:lang w:val="fr-FR"/>
        </w:rPr>
        <w:t>– toutes les personnes ont accès à des possibilités d’éducation pertinentes et de qualité.</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2 : Protection et bien-être </w:t>
      </w:r>
      <w:r w:rsidRPr="003737D9">
        <w:rPr>
          <w:rFonts w:ascii="MyriadPro-Regular" w:hAnsi="MyriadPro-Regular" w:cs="MyriadPro-Regular"/>
          <w:sz w:val="24"/>
          <w:szCs w:val="24"/>
          <w:lang w:val="fr-FR"/>
        </w:rPr>
        <w:t>–</w:t>
      </w:r>
      <w:r w:rsidR="003737D9" w:rsidRPr="003737D9">
        <w:rPr>
          <w:rFonts w:ascii="MyriadPro-Regular" w:hAnsi="MyriadPro-Regular" w:cs="MyriadPro-Regular"/>
          <w:sz w:val="24"/>
          <w:szCs w:val="24"/>
          <w:lang w:val="fr-FR"/>
        </w:rPr>
        <w:t xml:space="preserve"> </w:t>
      </w:r>
      <w:r w:rsidRPr="003737D9">
        <w:rPr>
          <w:rFonts w:ascii="MyriadPro-Cond" w:hAnsi="MyriadPro-Cond" w:cs="MyriadPro-Cond"/>
          <w:sz w:val="24"/>
          <w:szCs w:val="24"/>
          <w:lang w:val="fr-FR"/>
        </w:rPr>
        <w:t xml:space="preserve">les environnements d’apprentissage sont sans danger et sûrs et contribuent à la protection et au bien-être psychosocial des apprenants, des enseignants et autres personnels de l’éducation. </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3 : Établissements et services </w:t>
      </w:r>
      <w:r w:rsidRPr="003737D9">
        <w:rPr>
          <w:rFonts w:ascii="MyriadPro-Cond" w:hAnsi="MyriadPro-Cond" w:cs="MyriadPro-Cond"/>
          <w:sz w:val="24"/>
          <w:szCs w:val="24"/>
          <w:lang w:val="fr-FR"/>
        </w:rPr>
        <w:t>– les établissements scolaires contribuent à la sécurité et au bien-être des apprenants, des enseignants et autres personnels de l’éducation et sont en lien avec des services de santé, de nutrition, de protection, et des services psychosociaux.</w:t>
      </w:r>
    </w:p>
    <w:p w:rsidR="0073694C" w:rsidRPr="003737D9" w:rsidRDefault="0073694C" w:rsidP="0073694C">
      <w:pPr>
        <w:rPr>
          <w:rFonts w:ascii="MyriadPro-SemiboldCond" w:hAnsi="MyriadPro-SemiboldCond" w:cs="MyriadPro-SemiboldCond"/>
          <w:sz w:val="24"/>
          <w:szCs w:val="24"/>
          <w:lang w:val="fr-FR"/>
        </w:rPr>
      </w:pPr>
    </w:p>
    <w:p w:rsidR="0073694C" w:rsidRPr="003737D9" w:rsidRDefault="003737D9" w:rsidP="0073694C">
      <w:pPr>
        <w:jc w:val="center"/>
        <w:rPr>
          <w:rFonts w:ascii="MyriadPro-SemiboldCond" w:hAnsi="MyriadPro-SemiboldCond" w:cs="MyriadPro-SemiboldCond"/>
          <w:b/>
          <w:color w:val="0070C0"/>
          <w:sz w:val="28"/>
          <w:szCs w:val="28"/>
          <w:lang w:val="fr-FR"/>
        </w:rPr>
      </w:pPr>
      <w:r>
        <w:rPr>
          <w:rFonts w:ascii="MyriadPro-SemiboldCond" w:hAnsi="MyriadPro-SemiboldCond" w:cs="MyriadPro-SemiboldCond"/>
          <w:b/>
          <w:color w:val="0070C0"/>
          <w:sz w:val="28"/>
          <w:szCs w:val="28"/>
          <w:lang w:val="fr-FR"/>
        </w:rPr>
        <w:t xml:space="preserve">Enseignement </w:t>
      </w:r>
      <w:r w:rsidR="0073694C" w:rsidRPr="003737D9">
        <w:rPr>
          <w:rFonts w:ascii="MyriadPro-SemiboldCond" w:hAnsi="MyriadPro-SemiboldCond" w:cs="MyriadPro-SemiboldCond"/>
          <w:b/>
          <w:color w:val="0070C0"/>
          <w:sz w:val="28"/>
          <w:szCs w:val="28"/>
          <w:lang w:val="fr-FR"/>
        </w:rPr>
        <w:t>et apprentissage</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 xml:space="preserve">Norme 1 : Programmes scolaires </w:t>
      </w:r>
      <w:r w:rsidRPr="003737D9">
        <w:rPr>
          <w:rFonts w:ascii="MyriadPro-Cond" w:hAnsi="MyriadPro-Cond" w:cs="MyriadPro-Cond"/>
          <w:sz w:val="24"/>
          <w:szCs w:val="24"/>
          <w:lang w:val="fr-FR"/>
        </w:rPr>
        <w:t>– des programmes scolaires pertinents du point de vue culturel, social et linguistique sont utilisés pour fournir une éducation formelle et non formelle, appropriée au contexte et aux besoins particuliers des apprenants.</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2 : Formation, développement professionnel et appui </w:t>
      </w:r>
      <w:r w:rsidRPr="003737D9">
        <w:rPr>
          <w:rFonts w:ascii="MyriadPro-Cond" w:hAnsi="MyriadPro-Cond" w:cs="MyriadPro-Cond"/>
          <w:sz w:val="24"/>
          <w:szCs w:val="24"/>
          <w:lang w:val="fr-FR"/>
        </w:rPr>
        <w:t>– les enseignants et autres personnels de l’éducation reçoivent une formation périodique pertinente et structurée, adaptée aux besoins et aux circonstances.</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3 : Enseignement et processus d’apprentissage </w:t>
      </w:r>
      <w:r w:rsidRPr="003737D9">
        <w:rPr>
          <w:rFonts w:ascii="MyriadPro-Cond" w:hAnsi="MyriadPro-Cond" w:cs="MyriadPro-Cond"/>
          <w:sz w:val="24"/>
          <w:szCs w:val="24"/>
          <w:lang w:val="fr-FR"/>
        </w:rPr>
        <w:t>– l’enseignement et les processus d’apprentissage sont centrés sur l’apprenant, participatifs et inclusifs.</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4 : Évaluation des résultats d’apprentissage </w:t>
      </w:r>
      <w:r w:rsidRPr="003737D9">
        <w:rPr>
          <w:rFonts w:ascii="MyriadPro-Cond" w:hAnsi="MyriadPro-Cond" w:cs="MyriadPro-Cond"/>
          <w:sz w:val="24"/>
          <w:szCs w:val="24"/>
          <w:lang w:val="fr-FR"/>
        </w:rPr>
        <w:t>– des méthodes appropriées d’évaluation et de validation des résultats de l’apprentissage sont utilisées.</w:t>
      </w:r>
    </w:p>
    <w:p w:rsidR="0073694C" w:rsidRPr="003737D9" w:rsidRDefault="0073694C" w:rsidP="0073694C">
      <w:pPr>
        <w:widowControl/>
        <w:autoSpaceDE w:val="0"/>
        <w:autoSpaceDN w:val="0"/>
        <w:adjustRightInd w:val="0"/>
        <w:spacing w:after="0" w:line="240" w:lineRule="auto"/>
        <w:rPr>
          <w:rFonts w:ascii="MyriadPro-Cond" w:hAnsi="MyriadPro-Cond" w:cs="MyriadPro-Cond"/>
          <w:b/>
          <w:color w:val="0070C0"/>
          <w:sz w:val="28"/>
          <w:szCs w:val="28"/>
          <w:lang w:val="fr-FR"/>
        </w:rPr>
      </w:pPr>
    </w:p>
    <w:p w:rsidR="00D81D18" w:rsidRDefault="00D81D18"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p>
    <w:p w:rsidR="00D81D18" w:rsidRDefault="00D81D18"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p>
    <w:p w:rsidR="00D81D18" w:rsidRDefault="00D81D18"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p>
    <w:p w:rsidR="00D81D18" w:rsidRDefault="00D81D18"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p>
    <w:p w:rsidR="00D81D18" w:rsidRDefault="00D81D18"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p>
    <w:p w:rsidR="0073694C" w:rsidRPr="003737D9" w:rsidRDefault="0073694C"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r w:rsidRPr="003737D9">
        <w:rPr>
          <w:rFonts w:ascii="MyriadPro-SemiboldCond" w:hAnsi="MyriadPro-SemiboldCond" w:cs="MyriadPro-SemiboldCond"/>
          <w:b/>
          <w:color w:val="0070C0"/>
          <w:sz w:val="28"/>
          <w:szCs w:val="28"/>
          <w:lang w:val="fr-FR"/>
        </w:rPr>
        <w:lastRenderedPageBreak/>
        <w:t>Enseignants et autres personnels de l’éducation</w:t>
      </w:r>
    </w:p>
    <w:p w:rsidR="0073694C" w:rsidRPr="003737D9" w:rsidRDefault="0073694C"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1 : Recrutement et sélection </w:t>
      </w:r>
      <w:r w:rsidRPr="003737D9">
        <w:rPr>
          <w:rFonts w:ascii="MyriadPro-Cond" w:hAnsi="MyriadPro-Cond" w:cs="MyriadPro-Cond"/>
          <w:sz w:val="24"/>
          <w:szCs w:val="24"/>
          <w:lang w:val="fr-FR"/>
        </w:rPr>
        <w:t>– un nombre suffisant d’enseignants et autres personnels de l’éducation est recruté à travers un processus participatif et transparent, selon des critères de sélection qui prennent en compte la diversité et l’équité.</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2 : Conditions de travail </w:t>
      </w:r>
      <w:r w:rsidRPr="003737D9">
        <w:rPr>
          <w:rFonts w:ascii="MyriadPro-Cond" w:hAnsi="MyriadPro-Cond" w:cs="MyriadPro-Cond"/>
          <w:sz w:val="24"/>
          <w:szCs w:val="24"/>
          <w:lang w:val="fr-FR"/>
        </w:rPr>
        <w:t>– les enseignants et autres personnels de l’éducation ont des conditions de travail clairement définies et sont rémunérés convenablement.</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 xml:space="preserve">Norme 3 : Appui et supervision </w:t>
      </w:r>
      <w:r w:rsidR="003737D9">
        <w:rPr>
          <w:rFonts w:ascii="MyriadPro-Cond" w:hAnsi="MyriadPro-Cond" w:cs="MyriadPro-Cond"/>
          <w:sz w:val="24"/>
          <w:szCs w:val="24"/>
          <w:lang w:val="fr-FR"/>
        </w:rPr>
        <w:t>– d</w:t>
      </w:r>
      <w:r w:rsidRPr="003737D9">
        <w:rPr>
          <w:rFonts w:ascii="MyriadPro-Cond" w:hAnsi="MyriadPro-Cond" w:cs="MyriadPro-Cond"/>
          <w:sz w:val="24"/>
          <w:szCs w:val="24"/>
          <w:lang w:val="fr-FR"/>
        </w:rPr>
        <w:t>es mécanismes d’appui et de supervision pour les enseignants et autres personnels de l’éducation fonctionnent efficacement.</w:t>
      </w:r>
    </w:p>
    <w:p w:rsidR="0073694C" w:rsidRPr="003737D9" w:rsidRDefault="0073694C" w:rsidP="0073694C">
      <w:pPr>
        <w:widowControl/>
        <w:autoSpaceDE w:val="0"/>
        <w:autoSpaceDN w:val="0"/>
        <w:adjustRightInd w:val="0"/>
        <w:spacing w:after="0" w:line="240" w:lineRule="auto"/>
        <w:rPr>
          <w:rFonts w:ascii="MyriadPro-Cond" w:hAnsi="MyriadPro-Cond" w:cs="MyriadPro-Cond"/>
          <w:sz w:val="17"/>
          <w:szCs w:val="17"/>
          <w:lang w:val="fr-FR"/>
        </w:rPr>
      </w:pPr>
    </w:p>
    <w:p w:rsidR="0073694C" w:rsidRPr="003737D9" w:rsidRDefault="0073694C"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73694C" w:rsidRPr="003737D9" w:rsidRDefault="0073694C"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73694C" w:rsidRDefault="0073694C"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D81D18" w:rsidRDefault="00D81D18"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D81D18" w:rsidRDefault="00D81D18"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D81D18" w:rsidRDefault="00D81D18"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D81D18" w:rsidRDefault="00D81D18"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D81D18" w:rsidRPr="003737D9" w:rsidRDefault="00D81D18"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73694C" w:rsidRPr="003737D9" w:rsidRDefault="0073694C" w:rsidP="0073694C">
      <w:pPr>
        <w:widowControl/>
        <w:autoSpaceDE w:val="0"/>
        <w:autoSpaceDN w:val="0"/>
        <w:adjustRightInd w:val="0"/>
        <w:spacing w:after="0" w:line="240" w:lineRule="auto"/>
        <w:jc w:val="center"/>
        <w:rPr>
          <w:rFonts w:ascii="MyriadPro-SemiboldCond" w:hAnsi="MyriadPro-SemiboldCond" w:cs="MyriadPro-SemiboldCond"/>
          <w:b/>
          <w:color w:val="0070C0"/>
          <w:sz w:val="28"/>
          <w:szCs w:val="28"/>
          <w:lang w:val="fr-FR"/>
        </w:rPr>
      </w:pPr>
      <w:r w:rsidRPr="003737D9">
        <w:rPr>
          <w:rFonts w:ascii="MyriadPro-SemiboldCond" w:hAnsi="MyriadPro-SemiboldCond" w:cs="MyriadPro-SemiboldCond"/>
          <w:b/>
          <w:color w:val="0070C0"/>
          <w:sz w:val="28"/>
          <w:szCs w:val="28"/>
          <w:lang w:val="fr-FR"/>
        </w:rPr>
        <w:lastRenderedPageBreak/>
        <w:t>Politique éducative</w:t>
      </w:r>
    </w:p>
    <w:p w:rsidR="0073694C" w:rsidRPr="003737D9" w:rsidRDefault="0073694C" w:rsidP="0073694C">
      <w:pPr>
        <w:widowControl/>
        <w:autoSpaceDE w:val="0"/>
        <w:autoSpaceDN w:val="0"/>
        <w:adjustRightInd w:val="0"/>
        <w:spacing w:after="0" w:line="240" w:lineRule="auto"/>
        <w:rPr>
          <w:rFonts w:ascii="MyriadPro-SemiboldCond" w:hAnsi="MyriadPro-SemiboldCond" w:cs="MyriadPro-SemiboldCond"/>
          <w:b/>
          <w:sz w:val="28"/>
          <w:szCs w:val="28"/>
          <w:lang w:val="fr-FR"/>
        </w:rPr>
      </w:pP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1 : Formulation des politiques et des lois </w:t>
      </w:r>
      <w:r w:rsidRPr="003737D9">
        <w:rPr>
          <w:rFonts w:ascii="MyriadPro-Cond" w:hAnsi="MyriadPro-Cond" w:cs="MyriadPro-Cond"/>
          <w:sz w:val="24"/>
          <w:szCs w:val="24"/>
          <w:lang w:val="fr-FR"/>
        </w:rPr>
        <w:t>–</w:t>
      </w:r>
      <w:r w:rsidR="003737D9" w:rsidRPr="003737D9">
        <w:rPr>
          <w:rFonts w:ascii="MyriadPro-Cond" w:hAnsi="MyriadPro-Cond" w:cs="MyriadPro-Cond"/>
          <w:sz w:val="24"/>
          <w:szCs w:val="24"/>
          <w:lang w:val="fr-FR"/>
        </w:rPr>
        <w:t xml:space="preserve"> </w:t>
      </w:r>
      <w:r w:rsidRPr="003737D9">
        <w:rPr>
          <w:rFonts w:ascii="MyriadPro-Cond" w:hAnsi="MyriadPro-Cond" w:cs="MyriadPro-Cond"/>
          <w:sz w:val="24"/>
          <w:szCs w:val="24"/>
          <w:lang w:val="fr-FR"/>
        </w:rPr>
        <w:t>les autorités chargées de l’éducation font de la continuité et du rétablissement d’une éducation de qualité, avec un accès libre et inclusif à la scolarisation, une priorité.</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r w:rsidRPr="003737D9">
        <w:rPr>
          <w:rFonts w:ascii="MyriadPro-BoldCond" w:hAnsi="MyriadPro-BoldCond" w:cs="MyriadPro-BoldCond"/>
          <w:b/>
          <w:bCs/>
          <w:sz w:val="24"/>
          <w:szCs w:val="24"/>
          <w:lang w:val="fr-FR"/>
        </w:rPr>
        <w:t>Norme 2 : Planification et mise en œuvre </w:t>
      </w:r>
      <w:r w:rsidRPr="003737D9">
        <w:rPr>
          <w:rFonts w:ascii="MyriadPro-Cond" w:hAnsi="MyriadPro-Cond" w:cs="MyriadPro-Cond"/>
          <w:sz w:val="24"/>
          <w:szCs w:val="24"/>
          <w:lang w:val="fr-FR"/>
        </w:rPr>
        <w:t>– les activités éducatives prennent en compte les politiques, lois, normes et plans internationaux et nationaux pour l’éducation ainsi que les besoins d’apprentissage des populations affectées.</w:t>
      </w:r>
    </w:p>
    <w:p w:rsidR="0073694C" w:rsidRPr="003737D9" w:rsidRDefault="0073694C" w:rsidP="0073694C">
      <w:pPr>
        <w:widowControl/>
        <w:autoSpaceDE w:val="0"/>
        <w:autoSpaceDN w:val="0"/>
        <w:adjustRightInd w:val="0"/>
        <w:spacing w:after="0" w:line="240" w:lineRule="auto"/>
        <w:rPr>
          <w:rFonts w:ascii="MyriadPro-Cond" w:hAnsi="MyriadPro-Cond" w:cs="MyriadPro-Cond"/>
          <w:sz w:val="24"/>
          <w:szCs w:val="24"/>
          <w:lang w:val="fr-FR"/>
        </w:rPr>
      </w:pPr>
    </w:p>
    <w:p w:rsidR="00D81D18" w:rsidRDefault="00D81D18" w:rsidP="0073694C">
      <w:pPr>
        <w:widowControl/>
        <w:autoSpaceDE w:val="0"/>
        <w:autoSpaceDN w:val="0"/>
        <w:adjustRightInd w:val="0"/>
        <w:spacing w:after="0" w:line="240" w:lineRule="auto"/>
        <w:rPr>
          <w:rFonts w:ascii="MyriadPro-Bold" w:hAnsi="MyriadPro-Bold" w:cs="MyriadPro-Bold"/>
          <w:b/>
          <w:bCs/>
          <w:color w:val="0070C0"/>
          <w:sz w:val="24"/>
          <w:szCs w:val="24"/>
          <w:lang w:val="fr-FR"/>
        </w:rPr>
      </w:pPr>
    </w:p>
    <w:p w:rsidR="0073694C" w:rsidRPr="003737D9" w:rsidRDefault="0073694C" w:rsidP="0073694C">
      <w:pPr>
        <w:widowControl/>
        <w:autoSpaceDE w:val="0"/>
        <w:autoSpaceDN w:val="0"/>
        <w:adjustRightInd w:val="0"/>
        <w:spacing w:after="0" w:line="240" w:lineRule="auto"/>
        <w:rPr>
          <w:rFonts w:ascii="MyriadPro-BoldCond" w:hAnsi="MyriadPro-BoldCond" w:cs="MyriadPro-BoldCond"/>
          <w:b/>
          <w:bCs/>
          <w:color w:val="0070C0"/>
          <w:sz w:val="24"/>
          <w:szCs w:val="24"/>
          <w:lang w:val="fr-FR"/>
        </w:rPr>
      </w:pPr>
      <w:r w:rsidRPr="003737D9">
        <w:rPr>
          <w:rFonts w:ascii="MyriadPro-Bold" w:hAnsi="MyriadPro-Bold" w:cs="MyriadPro-Bold"/>
          <w:b/>
          <w:bCs/>
          <w:color w:val="0070C0"/>
          <w:sz w:val="24"/>
          <w:szCs w:val="24"/>
          <w:lang w:val="fr-FR"/>
        </w:rPr>
        <w:t xml:space="preserve">Questions thématiques clés : </w:t>
      </w:r>
      <w:r w:rsidR="003737D9">
        <w:rPr>
          <w:rFonts w:ascii="MyriadPro-Regular" w:hAnsi="MyriadPro-Regular" w:cs="MyriadPro-Regular"/>
          <w:color w:val="0070C0"/>
          <w:sz w:val="24"/>
          <w:szCs w:val="24"/>
          <w:lang w:val="fr-FR"/>
        </w:rPr>
        <w:t>atténuation des conflits, r</w:t>
      </w:r>
      <w:r w:rsidRPr="003737D9">
        <w:rPr>
          <w:rFonts w:ascii="MyriadPro-Regular" w:hAnsi="MyriadPro-Regular" w:cs="MyriadPro-Regular"/>
          <w:color w:val="0070C0"/>
          <w:sz w:val="24"/>
          <w:szCs w:val="24"/>
          <w:lang w:val="fr-FR"/>
        </w:rPr>
        <w:t>éductio</w:t>
      </w:r>
      <w:r w:rsidR="00D50ACD">
        <w:rPr>
          <w:rFonts w:ascii="MyriadPro-Regular" w:hAnsi="MyriadPro-Regular" w:cs="MyriadPro-Regular"/>
          <w:color w:val="0070C0"/>
          <w:sz w:val="24"/>
          <w:szCs w:val="24"/>
          <w:lang w:val="fr-FR"/>
        </w:rPr>
        <w:t>n des risques de catastrophe</w:t>
      </w:r>
      <w:r w:rsidR="003737D9">
        <w:rPr>
          <w:rFonts w:ascii="MyriadPro-Regular" w:hAnsi="MyriadPro-Regular" w:cs="MyriadPro-Regular"/>
          <w:color w:val="0070C0"/>
          <w:sz w:val="24"/>
          <w:szCs w:val="24"/>
          <w:lang w:val="fr-FR"/>
        </w:rPr>
        <w:t>, d</w:t>
      </w:r>
      <w:r w:rsidRPr="003737D9">
        <w:rPr>
          <w:rFonts w:ascii="MyriadPro-Regular" w:hAnsi="MyriadPro-Regular" w:cs="MyriadPro-Regular"/>
          <w:color w:val="0070C0"/>
          <w:sz w:val="24"/>
          <w:szCs w:val="24"/>
          <w:lang w:val="fr-FR"/>
        </w:rPr>
        <w:t>ével</w:t>
      </w:r>
      <w:r w:rsidR="003737D9">
        <w:rPr>
          <w:rFonts w:ascii="MyriadPro-Regular" w:hAnsi="MyriadPro-Regular" w:cs="MyriadPro-Regular"/>
          <w:color w:val="0070C0"/>
          <w:sz w:val="24"/>
          <w:szCs w:val="24"/>
          <w:lang w:val="fr-FR"/>
        </w:rPr>
        <w:t>oppement de la petite enfance, g</w:t>
      </w:r>
      <w:r w:rsidR="009F6BB0">
        <w:rPr>
          <w:rFonts w:ascii="MyriadPro-Regular" w:hAnsi="MyriadPro-Regular" w:cs="MyriadPro-Regular"/>
          <w:color w:val="0070C0"/>
          <w:sz w:val="24"/>
          <w:szCs w:val="24"/>
          <w:lang w:val="fr-FR"/>
        </w:rPr>
        <w:t>enre, VIH/</w:t>
      </w:r>
      <w:r w:rsidR="003737D9">
        <w:rPr>
          <w:rFonts w:ascii="MyriadPro-Regular" w:hAnsi="MyriadPro-Regular" w:cs="MyriadPro-Regular"/>
          <w:color w:val="0070C0"/>
          <w:sz w:val="24"/>
          <w:szCs w:val="24"/>
          <w:lang w:val="fr-FR"/>
        </w:rPr>
        <w:t xml:space="preserve">sida, droits de l’homme, éducation inclusive, liens intersectoriels, protection, </w:t>
      </w:r>
      <w:r w:rsidR="009F6BB0">
        <w:rPr>
          <w:rFonts w:ascii="MyriadPro-Regular" w:hAnsi="MyriadPro-Regular" w:cs="MyriadPro-Regular"/>
          <w:color w:val="0070C0"/>
          <w:sz w:val="24"/>
          <w:szCs w:val="24"/>
          <w:lang w:val="fr-FR"/>
        </w:rPr>
        <w:t xml:space="preserve">soutien psychosocial, </w:t>
      </w:r>
      <w:r w:rsidR="003737D9">
        <w:rPr>
          <w:rFonts w:ascii="MyriadPro-Regular" w:hAnsi="MyriadPro-Regular" w:cs="MyriadPro-Regular"/>
          <w:color w:val="0070C0"/>
          <w:sz w:val="24"/>
          <w:szCs w:val="24"/>
          <w:lang w:val="fr-FR"/>
        </w:rPr>
        <w:t>j</w:t>
      </w:r>
      <w:r w:rsidR="009F6BB0">
        <w:rPr>
          <w:rFonts w:ascii="MyriadPro-Regular" w:hAnsi="MyriadPro-Regular" w:cs="MyriadPro-Regular"/>
          <w:color w:val="0070C0"/>
          <w:sz w:val="24"/>
          <w:szCs w:val="24"/>
          <w:lang w:val="fr-FR"/>
        </w:rPr>
        <w:t>eunes.</w:t>
      </w:r>
      <w:bookmarkStart w:id="0" w:name="_GoBack"/>
      <w:bookmarkEnd w:id="0"/>
    </w:p>
    <w:sectPr w:rsidR="0073694C" w:rsidRPr="003737D9" w:rsidSect="00746530">
      <w:headerReference w:type="default" r:id="rId7"/>
      <w:footerReference w:type="default" r:id="rId8"/>
      <w:type w:val="continuous"/>
      <w:pgSz w:w="12240" w:h="7940" w:orient="landscape"/>
      <w:pgMar w:top="420" w:right="560" w:bottom="280" w:left="6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66A" w:rsidRPr="0073694C" w:rsidRDefault="00BE766A" w:rsidP="0073694C">
      <w:pPr>
        <w:spacing w:after="0" w:line="240" w:lineRule="auto"/>
        <w:rPr>
          <w:noProof/>
        </w:rPr>
      </w:pPr>
      <w:r w:rsidRPr="0073694C">
        <w:rPr>
          <w:noProof/>
        </w:rPr>
        <w:separator/>
      </w:r>
    </w:p>
  </w:endnote>
  <w:endnote w:type="continuationSeparator" w:id="0">
    <w:p w:rsidR="00BE766A" w:rsidRPr="0073694C" w:rsidRDefault="00BE766A" w:rsidP="0073694C">
      <w:pPr>
        <w:spacing w:after="0" w:line="240" w:lineRule="auto"/>
        <w:rPr>
          <w:noProof/>
        </w:rPr>
      </w:pPr>
      <w:r w:rsidRPr="0073694C">
        <w:rPr>
          <w:noProof/>
        </w:rPr>
        <w:continuationSeparator/>
      </w:r>
    </w:p>
  </w:endnote>
  <w:endnote w:type="continuationNotice" w:id="1">
    <w:p w:rsidR="00BE766A" w:rsidRDefault="00BE766A">
      <w:pPr>
        <w:spacing w:after="0" w:line="240" w:lineRule="auto"/>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yriadPro-BoldCond">
    <w:panose1 w:val="00000000000000000000"/>
    <w:charset w:val="00"/>
    <w:family w:val="swiss"/>
    <w:notTrueType/>
    <w:pitch w:val="default"/>
    <w:sig w:usb0="00000003" w:usb1="00000000" w:usb2="00000000" w:usb3="00000000" w:csb0="00000001" w:csb1="00000000"/>
  </w:font>
  <w:font w:name="MyriadPro-SemiboldCond">
    <w:panose1 w:val="00000000000000000000"/>
    <w:charset w:val="00"/>
    <w:family w:val="swiss"/>
    <w:notTrueType/>
    <w:pitch w:val="default"/>
    <w:sig w:usb0="00000003" w:usb1="00000000" w:usb2="00000000" w:usb3="00000000" w:csb0="00000001" w:csb1="00000000"/>
  </w:font>
  <w:font w:name="MyriadPro-Cond">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D0E" w:rsidRDefault="00C95D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66A" w:rsidRPr="0073694C" w:rsidRDefault="00BE766A" w:rsidP="0073694C">
      <w:pPr>
        <w:spacing w:after="0" w:line="240" w:lineRule="auto"/>
        <w:rPr>
          <w:noProof/>
        </w:rPr>
      </w:pPr>
      <w:r w:rsidRPr="0073694C">
        <w:rPr>
          <w:noProof/>
        </w:rPr>
        <w:separator/>
      </w:r>
    </w:p>
  </w:footnote>
  <w:footnote w:type="continuationSeparator" w:id="0">
    <w:p w:rsidR="00BE766A" w:rsidRPr="0073694C" w:rsidRDefault="00BE766A" w:rsidP="0073694C">
      <w:pPr>
        <w:spacing w:after="0" w:line="240" w:lineRule="auto"/>
        <w:rPr>
          <w:noProof/>
        </w:rPr>
      </w:pPr>
      <w:r w:rsidRPr="0073694C">
        <w:rPr>
          <w:noProof/>
        </w:rPr>
        <w:continuationSeparator/>
      </w:r>
    </w:p>
  </w:footnote>
  <w:footnote w:type="continuationNotice" w:id="1">
    <w:p w:rsidR="00BE766A" w:rsidRDefault="00BE766A">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D0E" w:rsidRDefault="00C95D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doNotHyphenateCaps/>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
  <w:rsids>
    <w:rsidRoot w:val="00746530"/>
    <w:rsid w:val="00057D5F"/>
    <w:rsid w:val="000A6E05"/>
    <w:rsid w:val="001027CD"/>
    <w:rsid w:val="00187EAB"/>
    <w:rsid w:val="00232CE3"/>
    <w:rsid w:val="002B6C51"/>
    <w:rsid w:val="003610D4"/>
    <w:rsid w:val="00364CA8"/>
    <w:rsid w:val="003737D9"/>
    <w:rsid w:val="00375B85"/>
    <w:rsid w:val="004F1078"/>
    <w:rsid w:val="00530946"/>
    <w:rsid w:val="00544A5E"/>
    <w:rsid w:val="00591A7D"/>
    <w:rsid w:val="006A2F26"/>
    <w:rsid w:val="0073694C"/>
    <w:rsid w:val="00746530"/>
    <w:rsid w:val="007C4594"/>
    <w:rsid w:val="00851233"/>
    <w:rsid w:val="008A2763"/>
    <w:rsid w:val="009B2447"/>
    <w:rsid w:val="009F6BB0"/>
    <w:rsid w:val="00A65208"/>
    <w:rsid w:val="00AC3856"/>
    <w:rsid w:val="00B97F5F"/>
    <w:rsid w:val="00BE766A"/>
    <w:rsid w:val="00C357A6"/>
    <w:rsid w:val="00C95D0E"/>
    <w:rsid w:val="00CA241A"/>
    <w:rsid w:val="00D25A19"/>
    <w:rsid w:val="00D50ACD"/>
    <w:rsid w:val="00D81D18"/>
    <w:rsid w:val="00E07F41"/>
    <w:rsid w:val="00E27703"/>
    <w:rsid w:val="00EC1547"/>
    <w:rsid w:val="00FB34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69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94C"/>
  </w:style>
  <w:style w:type="paragraph" w:styleId="Footer">
    <w:name w:val="footer"/>
    <w:basedOn w:val="Normal"/>
    <w:link w:val="FooterChar"/>
    <w:uiPriority w:val="99"/>
    <w:unhideWhenUsed/>
    <w:rsid w:val="007369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9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69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94C"/>
  </w:style>
  <w:style w:type="paragraph" w:styleId="Footer">
    <w:name w:val="footer"/>
    <w:basedOn w:val="Normal"/>
    <w:link w:val="FooterChar"/>
    <w:uiPriority w:val="99"/>
    <w:unhideWhenUsed/>
    <w:rsid w:val="007369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94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35D9D-18D3-4D83-91CD-84C21C953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c:creator>
  <cp:lastModifiedBy>clairene</cp:lastModifiedBy>
  <cp:revision>5</cp:revision>
  <dcterms:created xsi:type="dcterms:W3CDTF">2013-12-03T17:21:00Z</dcterms:created>
  <dcterms:modified xsi:type="dcterms:W3CDTF">2014-06-18T15:31:00Z</dcterms:modified>
</cp:coreProperties>
</file>