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D8D" w:rsidRPr="00635D8D" w:rsidRDefault="00635D8D" w:rsidP="00635D8D">
      <w:pPr>
        <w:pBdr>
          <w:top w:val="single" w:sz="12" w:space="1" w:color="auto"/>
          <w:bottom w:val="single" w:sz="12" w:space="1" w:color="auto"/>
        </w:pBdr>
        <w:spacing w:line="240" w:lineRule="auto"/>
        <w:jc w:val="center"/>
        <w:outlineLvl w:val="0"/>
        <w:rPr>
          <w:rFonts w:ascii="Arial" w:eastAsia="Times" w:hAnsi="Arial" w:cs="Arial"/>
          <w:b/>
          <w:sz w:val="28"/>
          <w:szCs w:val="28"/>
        </w:rPr>
      </w:pPr>
      <w:r w:rsidRPr="00635D8D">
        <w:rPr>
          <w:rFonts w:ascii="Arial" w:eastAsia="Times" w:hAnsi="Arial" w:cs="Arial"/>
          <w:b/>
          <w:sz w:val="28"/>
          <w:szCs w:val="28"/>
        </w:rPr>
        <w:t>Module 2: Framework for Education in Emergencies</w:t>
      </w:r>
    </w:p>
    <w:p w:rsidR="00FC3A46" w:rsidRPr="00EB6E7C" w:rsidRDefault="00635D8D" w:rsidP="00635D8D">
      <w:pPr>
        <w:pBdr>
          <w:top w:val="single" w:sz="12" w:space="1" w:color="auto"/>
          <w:bottom w:val="single" w:sz="12" w:space="1" w:color="auto"/>
        </w:pBdr>
        <w:spacing w:after="120" w:line="240" w:lineRule="auto"/>
        <w:jc w:val="center"/>
        <w:outlineLvl w:val="0"/>
        <w:rPr>
          <w:rFonts w:ascii="Arial" w:eastAsia="Times" w:hAnsi="Arial" w:cs="Arial"/>
          <w:b/>
          <w:sz w:val="28"/>
          <w:szCs w:val="28"/>
        </w:rPr>
      </w:pPr>
      <w:r w:rsidRPr="00635D8D">
        <w:rPr>
          <w:rFonts w:ascii="Arial" w:eastAsia="Times" w:hAnsi="Arial" w:cs="Arial"/>
          <w:b/>
          <w:sz w:val="28"/>
          <w:szCs w:val="28"/>
        </w:rPr>
        <w:t>INEE Minimum Standards for Education</w:t>
      </w:r>
    </w:p>
    <w:p w:rsidR="00FC3A46" w:rsidRPr="00951243" w:rsidRDefault="00FC3A46" w:rsidP="00FC3A46">
      <w:pPr>
        <w:rPr>
          <w:b/>
        </w:rPr>
      </w:pPr>
      <w:r>
        <w:rPr>
          <w:rFonts w:ascii="Wingdings" w:eastAsia="ヒラギノ角ゴ Pro W3" w:hAnsi="Wingdings"/>
          <w:color w:val="000000"/>
          <w:sz w:val="22"/>
        </w:rPr>
        <w:t></w:t>
      </w:r>
      <w:r w:rsidRPr="00951243">
        <w:rPr>
          <w:b/>
        </w:rPr>
        <w:t xml:space="preserve">Time: </w:t>
      </w:r>
      <w:r w:rsidR="00635D8D">
        <w:rPr>
          <w:b/>
        </w:rPr>
        <w:t>1 hour 30</w:t>
      </w:r>
      <w:r w:rsidRPr="00951243">
        <w:rPr>
          <w:b/>
        </w:rPr>
        <w:t xml:space="preserve"> minutes</w:t>
      </w:r>
    </w:p>
    <w:p w:rsidR="002F036D" w:rsidRPr="000D4B2E" w:rsidRDefault="002F036D" w:rsidP="00297C5A">
      <w:pPr>
        <w:spacing w:before="240" w:after="120" w:line="240" w:lineRule="auto"/>
        <w:rPr>
          <w:rFonts w:ascii="Arial" w:hAnsi="Arial" w:cs="Arial"/>
          <w:b/>
          <w:sz w:val="22"/>
          <w:szCs w:val="22"/>
        </w:rPr>
      </w:pPr>
      <w:r w:rsidRPr="00DF5428">
        <w:rPr>
          <w:rFonts w:ascii="Arial Bold" w:hAnsi="Arial Bold" w:cs="Arial"/>
          <w:b/>
          <w:sz w:val="32"/>
          <w:szCs w:val="22"/>
        </w:rPr>
        <w:sym w:font="Wingdings" w:char="F026"/>
      </w:r>
      <w:r w:rsidRPr="000D4B2E">
        <w:rPr>
          <w:rFonts w:ascii="Arial" w:hAnsi="Arial" w:cs="Arial"/>
          <w:b/>
          <w:sz w:val="22"/>
          <w:szCs w:val="22"/>
        </w:rPr>
        <w:t>Learning Objectives</w:t>
      </w:r>
    </w:p>
    <w:p w:rsidR="002F036D" w:rsidRDefault="002F036D" w:rsidP="002F036D">
      <w:pPr>
        <w:shd w:val="clear" w:color="auto" w:fill="F2F2F2" w:themeFill="background1" w:themeFillShade="F2"/>
        <w:spacing w:after="60"/>
        <w:ind w:left="360"/>
      </w:pPr>
      <w:r w:rsidRPr="00DF5428">
        <w:rPr>
          <w:rStyle w:val="boldstatesm"/>
          <w:spacing w:val="11"/>
          <w:sz w:val="22"/>
        </w:rPr>
        <w:t>At the end of this session participants will be able to:</w:t>
      </w:r>
    </w:p>
    <w:p w:rsidR="00635D8D" w:rsidRPr="00635D8D" w:rsidRDefault="00635D8D" w:rsidP="009C624E">
      <w:pPr>
        <w:numPr>
          <w:ilvl w:val="0"/>
          <w:numId w:val="3"/>
        </w:numPr>
        <w:shd w:val="clear" w:color="auto" w:fill="F2F2F2" w:themeFill="background1" w:themeFillShade="F2"/>
        <w:spacing w:after="120" w:line="240" w:lineRule="auto"/>
        <w:jc w:val="both"/>
        <w:rPr>
          <w:rFonts w:ascii="Arial" w:hAnsi="Arial" w:cs="Arial"/>
          <w:bCs/>
          <w:sz w:val="22"/>
          <w:szCs w:val="22"/>
        </w:rPr>
      </w:pPr>
      <w:r w:rsidRPr="00635D8D">
        <w:rPr>
          <w:rFonts w:ascii="Arial" w:hAnsi="Arial" w:cs="Arial"/>
          <w:bCs/>
          <w:sz w:val="22"/>
          <w:szCs w:val="22"/>
        </w:rPr>
        <w:t xml:space="preserve">Understand what </w:t>
      </w:r>
      <w:proofErr w:type="gramStart"/>
      <w:r w:rsidRPr="00635D8D">
        <w:rPr>
          <w:rFonts w:ascii="Arial" w:hAnsi="Arial" w:cs="Arial"/>
          <w:bCs/>
          <w:sz w:val="22"/>
          <w:szCs w:val="22"/>
        </w:rPr>
        <w:t>is the Inter-Agency Network</w:t>
      </w:r>
      <w:proofErr w:type="gramEnd"/>
      <w:r w:rsidRPr="00635D8D">
        <w:rPr>
          <w:rFonts w:ascii="Arial" w:hAnsi="Arial" w:cs="Arial"/>
          <w:bCs/>
          <w:sz w:val="22"/>
          <w:szCs w:val="22"/>
        </w:rPr>
        <w:t xml:space="preserve"> for Education in Emergencies (INEE).</w:t>
      </w:r>
    </w:p>
    <w:p w:rsidR="00635D8D" w:rsidRPr="00635D8D" w:rsidRDefault="00635D8D" w:rsidP="009C624E">
      <w:pPr>
        <w:numPr>
          <w:ilvl w:val="0"/>
          <w:numId w:val="3"/>
        </w:numPr>
        <w:shd w:val="clear" w:color="auto" w:fill="F2F2F2" w:themeFill="background1" w:themeFillShade="F2"/>
        <w:spacing w:after="120" w:line="240" w:lineRule="auto"/>
        <w:jc w:val="both"/>
        <w:rPr>
          <w:rFonts w:ascii="Arial" w:hAnsi="Arial" w:cs="Arial"/>
          <w:bCs/>
          <w:sz w:val="22"/>
          <w:szCs w:val="22"/>
        </w:rPr>
      </w:pPr>
      <w:r w:rsidRPr="00635D8D">
        <w:rPr>
          <w:rFonts w:ascii="Arial" w:hAnsi="Arial" w:cs="Arial"/>
          <w:bCs/>
          <w:sz w:val="22"/>
          <w:szCs w:val="22"/>
        </w:rPr>
        <w:t xml:space="preserve">Understand the Domains and Standards of the INEE Minimum Standards for Education: Preparedness, Response, </w:t>
      </w:r>
      <w:proofErr w:type="gramStart"/>
      <w:r w:rsidRPr="00635D8D">
        <w:rPr>
          <w:rFonts w:ascii="Arial" w:hAnsi="Arial" w:cs="Arial"/>
          <w:bCs/>
          <w:sz w:val="22"/>
          <w:szCs w:val="22"/>
        </w:rPr>
        <w:t>Recovery</w:t>
      </w:r>
      <w:proofErr w:type="gramEnd"/>
      <w:r w:rsidRPr="00635D8D">
        <w:rPr>
          <w:rFonts w:ascii="Arial" w:hAnsi="Arial" w:cs="Arial"/>
          <w:bCs/>
          <w:sz w:val="22"/>
          <w:szCs w:val="22"/>
        </w:rPr>
        <w:t>.</w:t>
      </w:r>
    </w:p>
    <w:p w:rsidR="00635D8D" w:rsidRDefault="00635D8D" w:rsidP="009C624E">
      <w:pPr>
        <w:numPr>
          <w:ilvl w:val="0"/>
          <w:numId w:val="3"/>
        </w:numPr>
        <w:shd w:val="clear" w:color="auto" w:fill="F2F2F2" w:themeFill="background1" w:themeFillShade="F2"/>
        <w:spacing w:after="120" w:line="240" w:lineRule="auto"/>
        <w:jc w:val="both"/>
        <w:rPr>
          <w:rFonts w:ascii="Arial" w:hAnsi="Arial" w:cs="Arial"/>
          <w:bCs/>
          <w:sz w:val="22"/>
          <w:szCs w:val="22"/>
        </w:rPr>
      </w:pPr>
      <w:r w:rsidRPr="00635D8D">
        <w:rPr>
          <w:rFonts w:ascii="Arial" w:hAnsi="Arial" w:cs="Arial"/>
          <w:bCs/>
          <w:sz w:val="22"/>
          <w:szCs w:val="22"/>
        </w:rPr>
        <w:t>Understand how the Minimum Standards can be applied to ensure quality education during preparedness, response and recovery phases</w:t>
      </w:r>
    </w:p>
    <w:p w:rsidR="002F036D" w:rsidRPr="00DF5428" w:rsidRDefault="00985CB2" w:rsidP="00297C5A">
      <w:pPr>
        <w:spacing w:before="240" w:after="120" w:line="240" w:lineRule="auto"/>
        <w:rPr>
          <w:rFonts w:ascii="Arial" w:hAnsi="Arial" w:cs="Arial"/>
          <w:b/>
          <w:sz w:val="22"/>
          <w:szCs w:val="22"/>
        </w:rPr>
      </w:pPr>
      <w:r>
        <w:rPr>
          <w:rFonts w:ascii="Arial" w:hAnsi="Arial" w:cs="Arial"/>
          <w:b/>
          <w:noProof/>
          <w:sz w:val="22"/>
          <w:szCs w:val="22"/>
          <w:lang w:eastAsia="en-GB"/>
        </w:rPr>
        <w:drawing>
          <wp:inline distT="0" distB="0" distL="0" distR="0">
            <wp:extent cx="187005" cy="184727"/>
            <wp:effectExtent l="19050" t="0" r="3495" b="0"/>
            <wp:docPr id="1" name="Picture 71" descr="C:\Documents and Settings\jsparkes\Desktop\key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Documents and Settings\jsparkes\Desktop\key2.png"/>
                    <pic:cNvPicPr>
                      <a:picLocks noChangeAspect="1" noChangeArrowheads="1"/>
                    </pic:cNvPicPr>
                  </pic:nvPicPr>
                  <pic:blipFill>
                    <a:blip r:embed="rId8" cstate="print"/>
                    <a:srcRect/>
                    <a:stretch>
                      <a:fillRect/>
                    </a:stretch>
                  </pic:blipFill>
                  <pic:spPr bwMode="auto">
                    <a:xfrm>
                      <a:off x="0" y="0"/>
                      <a:ext cx="187005" cy="184727"/>
                    </a:xfrm>
                    <a:prstGeom prst="rect">
                      <a:avLst/>
                    </a:prstGeom>
                    <a:noFill/>
                    <a:ln w="9525">
                      <a:noFill/>
                      <a:miter lim="800000"/>
                      <a:headEnd/>
                      <a:tailEnd/>
                    </a:ln>
                  </pic:spPr>
                </pic:pic>
              </a:graphicData>
            </a:graphic>
          </wp:inline>
        </w:drawing>
      </w:r>
      <w:r w:rsidR="002F036D" w:rsidRPr="00B95FA2">
        <w:rPr>
          <w:rFonts w:ascii="Arial" w:hAnsi="Arial" w:cs="Arial"/>
          <w:b/>
          <w:sz w:val="22"/>
          <w:szCs w:val="22"/>
        </w:rPr>
        <w:t>Key Messages</w:t>
      </w:r>
      <w:r w:rsidRPr="00B95FA2">
        <w:rPr>
          <w:rFonts w:ascii="Arial" w:hAnsi="Arial" w:cs="Arial"/>
          <w:b/>
          <w:sz w:val="22"/>
          <w:szCs w:val="22"/>
        </w:rPr>
        <w:t xml:space="preserve"> </w:t>
      </w:r>
      <w:r w:rsidR="00B95FA2" w:rsidRPr="00B95FA2">
        <w:rPr>
          <w:rFonts w:ascii="Arial" w:hAnsi="Arial" w:cs="Arial"/>
          <w:b/>
          <w:sz w:val="22"/>
          <w:szCs w:val="22"/>
        </w:rPr>
        <w:t>and Learning P</w:t>
      </w:r>
      <w:r w:rsidR="00B95FA2">
        <w:rPr>
          <w:rFonts w:ascii="Arial" w:hAnsi="Arial" w:cs="Arial"/>
          <w:b/>
          <w:sz w:val="22"/>
          <w:szCs w:val="22"/>
        </w:rPr>
        <w:t>o</w:t>
      </w:r>
      <w:r w:rsidR="00B95FA2" w:rsidRPr="00B95FA2">
        <w:rPr>
          <w:rFonts w:ascii="Arial" w:hAnsi="Arial" w:cs="Arial"/>
          <w:b/>
          <w:sz w:val="22"/>
          <w:szCs w:val="22"/>
        </w:rPr>
        <w:t>ints</w:t>
      </w:r>
    </w:p>
    <w:p w:rsidR="00635D8D" w:rsidRPr="00635D8D" w:rsidRDefault="00635D8D" w:rsidP="009C624E">
      <w:pPr>
        <w:pStyle w:val="ListParagraph"/>
        <w:numPr>
          <w:ilvl w:val="0"/>
          <w:numId w:val="4"/>
        </w:numPr>
        <w:rPr>
          <w:rFonts w:ascii="Arial" w:hAnsi="Arial" w:cs="Arial"/>
          <w:sz w:val="22"/>
          <w:szCs w:val="22"/>
        </w:rPr>
      </w:pPr>
      <w:r w:rsidRPr="00635D8D">
        <w:rPr>
          <w:rFonts w:ascii="Arial" w:hAnsi="Arial" w:cs="Arial"/>
          <w:sz w:val="22"/>
          <w:szCs w:val="22"/>
        </w:rPr>
        <w:t>The key global advocacy goals of agencies and governments should be to establish education as a key component of their emergency responses.</w:t>
      </w:r>
    </w:p>
    <w:p w:rsidR="00635D8D" w:rsidRPr="00635D8D" w:rsidRDefault="00635D8D" w:rsidP="009C624E">
      <w:pPr>
        <w:pStyle w:val="ListParagraph"/>
        <w:numPr>
          <w:ilvl w:val="0"/>
          <w:numId w:val="4"/>
        </w:numPr>
        <w:rPr>
          <w:rFonts w:ascii="Arial" w:hAnsi="Arial" w:cs="Arial"/>
          <w:sz w:val="22"/>
          <w:szCs w:val="22"/>
        </w:rPr>
      </w:pPr>
      <w:r w:rsidRPr="00635D8D">
        <w:rPr>
          <w:rFonts w:ascii="Arial" w:hAnsi="Arial" w:cs="Arial"/>
          <w:sz w:val="22"/>
          <w:szCs w:val="22"/>
        </w:rPr>
        <w:t>The purpose of the Inter-Agency Network for Education in Emergencies (INEE) is to serve as an open global network of members working together within a humanitarian and development framework to ensure all people the right to quality and safe education in emergencies and post-crisis recovery.</w:t>
      </w:r>
    </w:p>
    <w:p w:rsidR="00635D8D" w:rsidRPr="00635D8D" w:rsidRDefault="00635D8D" w:rsidP="009C624E">
      <w:pPr>
        <w:pStyle w:val="ListParagraph"/>
        <w:numPr>
          <w:ilvl w:val="0"/>
          <w:numId w:val="4"/>
        </w:numPr>
        <w:rPr>
          <w:rFonts w:ascii="Arial" w:hAnsi="Arial" w:cs="Arial"/>
          <w:sz w:val="22"/>
          <w:szCs w:val="22"/>
        </w:rPr>
      </w:pPr>
      <w:r w:rsidRPr="00635D8D">
        <w:rPr>
          <w:rFonts w:ascii="Arial" w:hAnsi="Arial" w:cs="Arial"/>
          <w:sz w:val="22"/>
          <w:szCs w:val="22"/>
        </w:rPr>
        <w:t>INEE promotes the right to quality education in emergencies through to recovery and development.</w:t>
      </w:r>
    </w:p>
    <w:p w:rsidR="00635D8D" w:rsidRPr="00635D8D" w:rsidRDefault="00635D8D" w:rsidP="009C624E">
      <w:pPr>
        <w:pStyle w:val="ListParagraph"/>
        <w:numPr>
          <w:ilvl w:val="0"/>
          <w:numId w:val="4"/>
        </w:numPr>
        <w:rPr>
          <w:rFonts w:ascii="Arial" w:hAnsi="Arial" w:cs="Arial"/>
          <w:sz w:val="22"/>
          <w:szCs w:val="22"/>
        </w:rPr>
      </w:pPr>
      <w:r w:rsidRPr="00635D8D">
        <w:rPr>
          <w:rFonts w:ascii="Arial" w:hAnsi="Arial" w:cs="Arial"/>
          <w:sz w:val="22"/>
          <w:szCs w:val="22"/>
        </w:rPr>
        <w:t>INEE is a resource for best practice tools, reports and research on education in emergencies through recovery.</w:t>
      </w:r>
    </w:p>
    <w:p w:rsidR="00635D8D" w:rsidRPr="00635D8D" w:rsidRDefault="00635D8D" w:rsidP="009C624E">
      <w:pPr>
        <w:pStyle w:val="ListParagraph"/>
        <w:numPr>
          <w:ilvl w:val="0"/>
          <w:numId w:val="4"/>
        </w:numPr>
        <w:rPr>
          <w:rFonts w:ascii="Arial" w:hAnsi="Arial" w:cs="Arial"/>
          <w:sz w:val="22"/>
          <w:szCs w:val="22"/>
        </w:rPr>
      </w:pPr>
      <w:r w:rsidRPr="00635D8D">
        <w:rPr>
          <w:rFonts w:ascii="Arial" w:hAnsi="Arial" w:cs="Arial"/>
          <w:sz w:val="22"/>
          <w:szCs w:val="22"/>
        </w:rPr>
        <w:t>The INEE Minimum Standards Handbook articulates the minimum level of educational quality and access in emergencies through to recovery. The Standards can be used as a capacity-building and training tool for humanitarian agencies, governments and local populations to enhance the effectiveness and quality of their educational assistance. They help to enhance accountability and predictability among humanitarian actors and improve coordination among partners, including education authorities.</w:t>
      </w:r>
    </w:p>
    <w:p w:rsidR="00635D8D" w:rsidRPr="00635D8D" w:rsidRDefault="00635D8D" w:rsidP="009C624E">
      <w:pPr>
        <w:pStyle w:val="ListParagraph"/>
        <w:numPr>
          <w:ilvl w:val="0"/>
          <w:numId w:val="4"/>
        </w:numPr>
        <w:rPr>
          <w:rFonts w:ascii="Arial" w:hAnsi="Arial" w:cs="Arial"/>
          <w:sz w:val="22"/>
          <w:szCs w:val="22"/>
        </w:rPr>
      </w:pPr>
      <w:r w:rsidRPr="00635D8D">
        <w:rPr>
          <w:rFonts w:ascii="Arial" w:hAnsi="Arial" w:cs="Arial"/>
          <w:sz w:val="22"/>
          <w:szCs w:val="22"/>
        </w:rPr>
        <w:t>The INEE Minimum Standards Handbook has five domains: 1) Foundational Standards (Participation, Coordination and Analysis), 2) Access and Learning Environment, 3) Teaching and Learning, 4) Teachers and other Education Personnel, 5) Education Policy.  Each domain has standards, key actions and guidance notes.</w:t>
      </w:r>
    </w:p>
    <w:p w:rsidR="00DA17C9" w:rsidRDefault="00DA17C9">
      <w:pPr>
        <w:spacing w:after="200"/>
        <w:rPr>
          <w:rFonts w:ascii="Arial" w:hAnsi="Arial" w:cs="Arial"/>
          <w:b/>
          <w:sz w:val="22"/>
          <w:szCs w:val="22"/>
        </w:rPr>
      </w:pPr>
      <w:r>
        <w:rPr>
          <w:rFonts w:ascii="Arial" w:hAnsi="Arial" w:cs="Arial"/>
          <w:b/>
          <w:sz w:val="22"/>
          <w:szCs w:val="22"/>
        </w:rPr>
        <w:br w:type="page"/>
      </w:r>
    </w:p>
    <w:p w:rsidR="007511D1" w:rsidRPr="00951243" w:rsidRDefault="007511D1" w:rsidP="00297C5A">
      <w:pPr>
        <w:spacing w:before="240" w:after="120" w:line="240" w:lineRule="auto"/>
        <w:rPr>
          <w:rFonts w:ascii="Arial" w:hAnsi="Arial" w:cs="Arial"/>
          <w:b/>
          <w:sz w:val="22"/>
          <w:szCs w:val="22"/>
        </w:rPr>
      </w:pPr>
      <w:r w:rsidRPr="00951243">
        <w:rPr>
          <w:rFonts w:ascii="Arial" w:hAnsi="Arial" w:cs="Arial"/>
          <w:b/>
          <w:sz w:val="22"/>
          <w:szCs w:val="22"/>
        </w:rPr>
        <w:lastRenderedPageBreak/>
        <w:t>Session Outline</w:t>
      </w:r>
    </w:p>
    <w:tbl>
      <w:tblPr>
        <w:tblW w:w="48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52"/>
        <w:gridCol w:w="1701"/>
        <w:gridCol w:w="3695"/>
      </w:tblGrid>
      <w:tr w:rsidR="007511D1" w:rsidRPr="006A2BE5" w:rsidTr="00B022CE">
        <w:tc>
          <w:tcPr>
            <w:tcW w:w="2018" w:type="pct"/>
            <w:tcBorders>
              <w:top w:val="single" w:sz="12" w:space="0" w:color="auto"/>
              <w:left w:val="nil"/>
              <w:bottom w:val="single" w:sz="4" w:space="0" w:color="auto"/>
              <w:right w:val="nil"/>
            </w:tcBorders>
          </w:tcPr>
          <w:p w:rsidR="007511D1" w:rsidRPr="006A2BE5" w:rsidRDefault="007511D1" w:rsidP="000F095B">
            <w:pPr>
              <w:jc w:val="both"/>
              <w:rPr>
                <w:rFonts w:eastAsia="Calibri" w:cs="Arial"/>
                <w:b/>
                <w:bCs/>
                <w:szCs w:val="22"/>
              </w:rPr>
            </w:pPr>
            <w:r w:rsidRPr="006A2BE5">
              <w:rPr>
                <w:rFonts w:eastAsia="Calibri" w:cs="Arial"/>
                <w:b/>
                <w:bCs/>
                <w:szCs w:val="22"/>
              </w:rPr>
              <w:t>Content</w:t>
            </w:r>
          </w:p>
        </w:tc>
        <w:tc>
          <w:tcPr>
            <w:tcW w:w="940" w:type="pct"/>
            <w:tcBorders>
              <w:top w:val="single" w:sz="12" w:space="0" w:color="auto"/>
              <w:left w:val="nil"/>
              <w:bottom w:val="single" w:sz="4" w:space="0" w:color="auto"/>
              <w:right w:val="nil"/>
            </w:tcBorders>
          </w:tcPr>
          <w:p w:rsidR="007511D1" w:rsidRPr="006A2BE5" w:rsidRDefault="007511D1" w:rsidP="000F095B">
            <w:pPr>
              <w:jc w:val="both"/>
              <w:rPr>
                <w:rFonts w:eastAsia="Calibri" w:cs="Arial"/>
                <w:b/>
                <w:bCs/>
                <w:szCs w:val="22"/>
              </w:rPr>
            </w:pPr>
            <w:r w:rsidRPr="006A2BE5">
              <w:rPr>
                <w:rFonts w:eastAsia="Calibri" w:cs="Arial"/>
                <w:b/>
                <w:bCs/>
                <w:szCs w:val="22"/>
              </w:rPr>
              <w:t>Approx. Time</w:t>
            </w:r>
          </w:p>
        </w:tc>
        <w:tc>
          <w:tcPr>
            <w:tcW w:w="2042" w:type="pct"/>
            <w:tcBorders>
              <w:top w:val="single" w:sz="12" w:space="0" w:color="auto"/>
              <w:left w:val="nil"/>
              <w:bottom w:val="single" w:sz="4" w:space="0" w:color="auto"/>
              <w:right w:val="nil"/>
            </w:tcBorders>
          </w:tcPr>
          <w:p w:rsidR="007511D1" w:rsidRPr="006A2BE5" w:rsidRDefault="007511D1" w:rsidP="000F095B">
            <w:pPr>
              <w:jc w:val="both"/>
              <w:rPr>
                <w:rFonts w:eastAsia="Calibri" w:cs="Arial"/>
                <w:b/>
                <w:bCs/>
                <w:szCs w:val="22"/>
              </w:rPr>
            </w:pPr>
            <w:r w:rsidRPr="006A2BE5">
              <w:rPr>
                <w:rFonts w:eastAsia="Calibri" w:cs="Arial"/>
                <w:b/>
                <w:bCs/>
                <w:szCs w:val="22"/>
              </w:rPr>
              <w:t>Instructional Activity</w:t>
            </w:r>
          </w:p>
        </w:tc>
      </w:tr>
      <w:tr w:rsidR="007511D1" w:rsidRPr="006A2BE5" w:rsidTr="00B022CE">
        <w:tc>
          <w:tcPr>
            <w:tcW w:w="2018" w:type="pct"/>
            <w:tcBorders>
              <w:top w:val="single" w:sz="4" w:space="0" w:color="auto"/>
              <w:left w:val="nil"/>
              <w:bottom w:val="single" w:sz="4" w:space="0" w:color="auto"/>
              <w:right w:val="nil"/>
            </w:tcBorders>
          </w:tcPr>
          <w:p w:rsidR="007511D1" w:rsidRDefault="00635D8D" w:rsidP="000B744A">
            <w:pPr>
              <w:numPr>
                <w:ilvl w:val="0"/>
                <w:numId w:val="2"/>
              </w:numPr>
              <w:spacing w:line="240" w:lineRule="auto"/>
              <w:rPr>
                <w:rFonts w:cs="Arial"/>
                <w:szCs w:val="22"/>
              </w:rPr>
            </w:pPr>
            <w:r>
              <w:t>Overview of the Minimum Standards</w:t>
            </w:r>
          </w:p>
        </w:tc>
        <w:tc>
          <w:tcPr>
            <w:tcW w:w="940" w:type="pct"/>
            <w:tcBorders>
              <w:top w:val="single" w:sz="4" w:space="0" w:color="auto"/>
              <w:left w:val="nil"/>
              <w:bottom w:val="single" w:sz="4" w:space="0" w:color="auto"/>
              <w:right w:val="nil"/>
            </w:tcBorders>
          </w:tcPr>
          <w:p w:rsidR="007511D1" w:rsidRDefault="007511D1" w:rsidP="000F095B">
            <w:pPr>
              <w:jc w:val="both"/>
              <w:rPr>
                <w:rFonts w:cs="Arial"/>
                <w:szCs w:val="22"/>
              </w:rPr>
            </w:pPr>
            <w:r>
              <w:rPr>
                <w:rFonts w:cs="Arial"/>
                <w:szCs w:val="22"/>
              </w:rPr>
              <w:t>20 minutes</w:t>
            </w:r>
          </w:p>
        </w:tc>
        <w:tc>
          <w:tcPr>
            <w:tcW w:w="2042" w:type="pct"/>
            <w:tcBorders>
              <w:top w:val="single" w:sz="4" w:space="0" w:color="auto"/>
              <w:left w:val="nil"/>
              <w:bottom w:val="single" w:sz="4" w:space="0" w:color="auto"/>
              <w:right w:val="nil"/>
            </w:tcBorders>
          </w:tcPr>
          <w:p w:rsidR="007511D1" w:rsidRDefault="000B744A" w:rsidP="000F095B">
            <w:pPr>
              <w:rPr>
                <w:rFonts w:cs="Arial"/>
                <w:szCs w:val="22"/>
              </w:rPr>
            </w:pPr>
            <w:r>
              <w:rPr>
                <w:rFonts w:cs="Arial"/>
                <w:szCs w:val="22"/>
              </w:rPr>
              <w:t>Presentation</w:t>
            </w:r>
          </w:p>
        </w:tc>
      </w:tr>
      <w:tr w:rsidR="007511D1" w:rsidRPr="006A2BE5" w:rsidTr="00B022CE">
        <w:tc>
          <w:tcPr>
            <w:tcW w:w="2018" w:type="pct"/>
            <w:tcBorders>
              <w:top w:val="single" w:sz="4" w:space="0" w:color="auto"/>
              <w:left w:val="nil"/>
              <w:bottom w:val="single" w:sz="4" w:space="0" w:color="auto"/>
              <w:right w:val="nil"/>
            </w:tcBorders>
          </w:tcPr>
          <w:p w:rsidR="007511D1" w:rsidRDefault="00635D8D" w:rsidP="00342592">
            <w:pPr>
              <w:numPr>
                <w:ilvl w:val="0"/>
                <w:numId w:val="2"/>
              </w:numPr>
              <w:spacing w:line="240" w:lineRule="auto"/>
              <w:rPr>
                <w:rFonts w:eastAsia="Calibri" w:cs="Arial"/>
                <w:szCs w:val="22"/>
              </w:rPr>
            </w:pPr>
            <w:r>
              <w:rPr>
                <w:rFonts w:eastAsia="Calibri" w:cs="Arial"/>
                <w:szCs w:val="22"/>
              </w:rPr>
              <w:t>Application of the Minimum Standards</w:t>
            </w:r>
          </w:p>
        </w:tc>
        <w:tc>
          <w:tcPr>
            <w:tcW w:w="940" w:type="pct"/>
            <w:tcBorders>
              <w:top w:val="single" w:sz="4" w:space="0" w:color="auto"/>
              <w:left w:val="nil"/>
              <w:bottom w:val="single" w:sz="4" w:space="0" w:color="auto"/>
              <w:right w:val="nil"/>
            </w:tcBorders>
          </w:tcPr>
          <w:p w:rsidR="007511D1" w:rsidRDefault="00635D8D" w:rsidP="000F095B">
            <w:pPr>
              <w:jc w:val="both"/>
              <w:rPr>
                <w:rFonts w:eastAsia="Calibri" w:cs="Arial"/>
                <w:szCs w:val="22"/>
              </w:rPr>
            </w:pPr>
            <w:r>
              <w:rPr>
                <w:rFonts w:eastAsia="Calibri" w:cs="Arial"/>
                <w:szCs w:val="22"/>
              </w:rPr>
              <w:t>70</w:t>
            </w:r>
            <w:r w:rsidR="007511D1">
              <w:rPr>
                <w:rFonts w:eastAsia="Calibri" w:cs="Arial"/>
                <w:szCs w:val="22"/>
              </w:rPr>
              <w:t xml:space="preserve"> minutes</w:t>
            </w:r>
          </w:p>
        </w:tc>
        <w:tc>
          <w:tcPr>
            <w:tcW w:w="2042" w:type="pct"/>
            <w:tcBorders>
              <w:top w:val="single" w:sz="4" w:space="0" w:color="auto"/>
              <w:left w:val="nil"/>
              <w:bottom w:val="single" w:sz="4" w:space="0" w:color="auto"/>
              <w:right w:val="nil"/>
            </w:tcBorders>
          </w:tcPr>
          <w:p w:rsidR="007511D1" w:rsidRDefault="00635D8D" w:rsidP="000F095B">
            <w:pPr>
              <w:rPr>
                <w:rFonts w:eastAsia="Calibri" w:cs="Arial"/>
                <w:szCs w:val="22"/>
              </w:rPr>
            </w:pPr>
            <w:r>
              <w:rPr>
                <w:rFonts w:eastAsia="Calibri" w:cs="Arial"/>
                <w:szCs w:val="22"/>
              </w:rPr>
              <w:t>Group work</w:t>
            </w:r>
          </w:p>
        </w:tc>
      </w:tr>
      <w:tr w:rsidR="007511D1" w:rsidRPr="006A2BE5" w:rsidTr="00B022CE">
        <w:tc>
          <w:tcPr>
            <w:tcW w:w="2018" w:type="pct"/>
            <w:tcBorders>
              <w:top w:val="single" w:sz="4" w:space="0" w:color="auto"/>
              <w:left w:val="nil"/>
              <w:bottom w:val="single" w:sz="12" w:space="0" w:color="auto"/>
              <w:right w:val="nil"/>
            </w:tcBorders>
          </w:tcPr>
          <w:p w:rsidR="007511D1" w:rsidRPr="006A2BE5" w:rsidRDefault="007511D1" w:rsidP="000F095B">
            <w:pPr>
              <w:jc w:val="both"/>
              <w:rPr>
                <w:rFonts w:eastAsia="Calibri" w:cs="Arial"/>
                <w:b/>
                <w:bCs/>
                <w:szCs w:val="22"/>
              </w:rPr>
            </w:pPr>
            <w:r w:rsidRPr="006A2BE5">
              <w:rPr>
                <w:rFonts w:eastAsia="Calibri" w:cs="Arial"/>
                <w:b/>
                <w:bCs/>
                <w:szCs w:val="22"/>
              </w:rPr>
              <w:t>Total Time</w:t>
            </w:r>
          </w:p>
        </w:tc>
        <w:tc>
          <w:tcPr>
            <w:tcW w:w="940" w:type="pct"/>
            <w:tcBorders>
              <w:top w:val="single" w:sz="4" w:space="0" w:color="auto"/>
              <w:left w:val="nil"/>
              <w:bottom w:val="single" w:sz="12" w:space="0" w:color="auto"/>
              <w:right w:val="nil"/>
            </w:tcBorders>
          </w:tcPr>
          <w:p w:rsidR="007511D1" w:rsidRPr="006A2BE5" w:rsidRDefault="007511D1" w:rsidP="00A5182E">
            <w:pPr>
              <w:jc w:val="both"/>
              <w:rPr>
                <w:rFonts w:eastAsia="Calibri" w:cs="Arial"/>
                <w:b/>
                <w:bCs/>
                <w:szCs w:val="22"/>
              </w:rPr>
            </w:pPr>
            <w:r>
              <w:rPr>
                <w:rFonts w:eastAsia="Calibri" w:cs="Arial"/>
                <w:b/>
                <w:bCs/>
                <w:szCs w:val="22"/>
              </w:rPr>
              <w:t>9</w:t>
            </w:r>
            <w:r w:rsidR="00635D8D">
              <w:rPr>
                <w:rFonts w:eastAsia="Calibri" w:cs="Arial"/>
                <w:b/>
                <w:bCs/>
                <w:szCs w:val="22"/>
              </w:rPr>
              <w:t>0</w:t>
            </w:r>
            <w:r w:rsidRPr="006A2BE5">
              <w:rPr>
                <w:rFonts w:eastAsia="Calibri" w:cs="Arial"/>
                <w:b/>
                <w:bCs/>
                <w:szCs w:val="22"/>
              </w:rPr>
              <w:t xml:space="preserve"> minutes</w:t>
            </w:r>
          </w:p>
        </w:tc>
        <w:tc>
          <w:tcPr>
            <w:tcW w:w="2042" w:type="pct"/>
            <w:tcBorders>
              <w:top w:val="single" w:sz="4" w:space="0" w:color="auto"/>
              <w:left w:val="nil"/>
              <w:bottom w:val="single" w:sz="12" w:space="0" w:color="auto"/>
              <w:right w:val="nil"/>
            </w:tcBorders>
          </w:tcPr>
          <w:p w:rsidR="007511D1" w:rsidRPr="006A2BE5" w:rsidRDefault="007511D1" w:rsidP="000F095B">
            <w:pPr>
              <w:jc w:val="both"/>
              <w:rPr>
                <w:rFonts w:eastAsia="Calibri" w:cs="Arial"/>
                <w:b/>
                <w:szCs w:val="22"/>
              </w:rPr>
            </w:pPr>
          </w:p>
        </w:tc>
      </w:tr>
    </w:tbl>
    <w:p w:rsidR="00DA17C9" w:rsidRDefault="00DA17C9" w:rsidP="007511D1">
      <w:pPr>
        <w:spacing w:before="240" w:after="120"/>
        <w:rPr>
          <w:rFonts w:ascii="Arial" w:hAnsi="Arial" w:cs="Arial"/>
          <w:b/>
          <w:sz w:val="22"/>
          <w:szCs w:val="22"/>
        </w:rPr>
      </w:pPr>
    </w:p>
    <w:p w:rsidR="007511D1" w:rsidRPr="006F79E3" w:rsidRDefault="00232549" w:rsidP="007511D1">
      <w:pPr>
        <w:spacing w:before="240" w:after="120"/>
        <w:rPr>
          <w:rFonts w:ascii="Arial" w:hAnsi="Arial" w:cs="Arial"/>
          <w:b/>
          <w:sz w:val="22"/>
          <w:szCs w:val="22"/>
        </w:rPr>
      </w:pPr>
      <w:r>
        <w:rPr>
          <w:rFonts w:ascii="Arial" w:hAnsi="Arial" w:cs="Arial"/>
          <w:b/>
          <w:sz w:val="22"/>
          <w:szCs w:val="22"/>
        </w:rPr>
        <w:t>P</w:t>
      </w:r>
      <w:r w:rsidR="007511D1" w:rsidRPr="006F79E3">
        <w:rPr>
          <w:rFonts w:ascii="Arial" w:hAnsi="Arial" w:cs="Arial"/>
          <w:b/>
          <w:sz w:val="22"/>
          <w:szCs w:val="22"/>
        </w:rPr>
        <w:t>reparation, Resources and Support Material</w:t>
      </w:r>
      <w:r w:rsidR="000F095B">
        <w:rPr>
          <w:rFonts w:ascii="Arial" w:hAnsi="Arial" w:cs="Arial"/>
          <w:b/>
          <w:sz w:val="22"/>
          <w:szCs w:val="22"/>
        </w:rPr>
        <w:t>s</w:t>
      </w:r>
    </w:p>
    <w:p w:rsidR="000F095B" w:rsidRPr="008D301B" w:rsidRDefault="000F095B" w:rsidP="000F095B">
      <w:pPr>
        <w:pStyle w:val="dots"/>
        <w:numPr>
          <w:ilvl w:val="0"/>
          <w:numId w:val="0"/>
        </w:numPr>
        <w:pBdr>
          <w:top w:val="single" w:sz="4" w:space="1" w:color="auto"/>
          <w:left w:val="single" w:sz="4" w:space="1" w:color="auto"/>
          <w:bottom w:val="single" w:sz="4" w:space="1" w:color="auto"/>
          <w:right w:val="single" w:sz="4" w:space="1" w:color="auto"/>
        </w:pBdr>
        <w:rPr>
          <w:rFonts w:ascii="Arial" w:hAnsi="Arial" w:cs="Arial"/>
          <w:b/>
          <w:i/>
          <w:sz w:val="22"/>
          <w:szCs w:val="22"/>
        </w:rPr>
      </w:pPr>
      <w:r w:rsidRPr="008D301B">
        <w:rPr>
          <w:rFonts w:ascii="Arial" w:hAnsi="Arial" w:cs="Arial"/>
          <w:b/>
          <w:i/>
          <w:sz w:val="22"/>
          <w:szCs w:val="22"/>
        </w:rPr>
        <w:t>Resources / Materials needed:</w:t>
      </w:r>
    </w:p>
    <w:p w:rsidR="00635D8D" w:rsidRPr="00635D8D" w:rsidRDefault="00635D8D" w:rsidP="009C624E">
      <w:pPr>
        <w:pStyle w:val="dots"/>
        <w:numPr>
          <w:ilvl w:val="0"/>
          <w:numId w:val="5"/>
        </w:numPr>
        <w:pBdr>
          <w:top w:val="single" w:sz="4" w:space="1" w:color="auto"/>
          <w:left w:val="single" w:sz="4" w:space="1" w:color="auto"/>
          <w:bottom w:val="single" w:sz="4" w:space="1" w:color="auto"/>
          <w:right w:val="single" w:sz="4" w:space="1" w:color="auto"/>
        </w:pBdr>
        <w:spacing w:before="40"/>
        <w:rPr>
          <w:rFonts w:ascii="Arial" w:hAnsi="Arial" w:cs="Arial"/>
          <w:sz w:val="20"/>
        </w:rPr>
      </w:pPr>
      <w:r w:rsidRPr="00635D8D">
        <w:rPr>
          <w:rFonts w:ascii="Arial" w:hAnsi="Arial" w:cs="Arial"/>
          <w:sz w:val="20"/>
        </w:rPr>
        <w:t xml:space="preserve">INEE Handbook - Minimum Standards for Education: Preparedness, Response, Recovery </w:t>
      </w:r>
    </w:p>
    <w:p w:rsidR="00635D8D" w:rsidRPr="00635D8D" w:rsidRDefault="00635D8D" w:rsidP="009C624E">
      <w:pPr>
        <w:pStyle w:val="dots"/>
        <w:numPr>
          <w:ilvl w:val="0"/>
          <w:numId w:val="5"/>
        </w:numPr>
        <w:pBdr>
          <w:top w:val="single" w:sz="4" w:space="1" w:color="auto"/>
          <w:left w:val="single" w:sz="4" w:space="1" w:color="auto"/>
          <w:bottom w:val="single" w:sz="4" w:space="1" w:color="auto"/>
          <w:right w:val="single" w:sz="4" w:space="1" w:color="auto"/>
        </w:pBdr>
        <w:spacing w:before="40"/>
        <w:rPr>
          <w:rFonts w:ascii="Arial" w:hAnsi="Arial" w:cs="Arial"/>
          <w:sz w:val="20"/>
        </w:rPr>
      </w:pPr>
      <w:r w:rsidRPr="00635D8D">
        <w:rPr>
          <w:rFonts w:ascii="Arial" w:hAnsi="Arial" w:cs="Arial"/>
          <w:sz w:val="20"/>
        </w:rPr>
        <w:t>Handout 2.1: Minimum Standards for Education Summary</w:t>
      </w:r>
    </w:p>
    <w:p w:rsidR="00635D8D" w:rsidRPr="00635D8D" w:rsidRDefault="00635D8D" w:rsidP="009C624E">
      <w:pPr>
        <w:pStyle w:val="dots"/>
        <w:numPr>
          <w:ilvl w:val="0"/>
          <w:numId w:val="5"/>
        </w:numPr>
        <w:pBdr>
          <w:top w:val="single" w:sz="4" w:space="1" w:color="auto"/>
          <w:left w:val="single" w:sz="4" w:space="1" w:color="auto"/>
          <w:bottom w:val="single" w:sz="4" w:space="1" w:color="auto"/>
          <w:right w:val="single" w:sz="4" w:space="1" w:color="auto"/>
        </w:pBdr>
        <w:spacing w:before="40"/>
        <w:rPr>
          <w:rFonts w:ascii="Arial" w:hAnsi="Arial" w:cs="Arial"/>
          <w:sz w:val="20"/>
        </w:rPr>
      </w:pPr>
      <w:r w:rsidRPr="00635D8D">
        <w:rPr>
          <w:rFonts w:ascii="Arial" w:hAnsi="Arial" w:cs="Arial"/>
          <w:sz w:val="20"/>
        </w:rPr>
        <w:t>Handout 2.2: Case Study of Emergency Education Response</w:t>
      </w:r>
    </w:p>
    <w:p w:rsidR="00635D8D" w:rsidRPr="00635D8D" w:rsidRDefault="00635D8D" w:rsidP="009C624E">
      <w:pPr>
        <w:pStyle w:val="dots"/>
        <w:numPr>
          <w:ilvl w:val="0"/>
          <w:numId w:val="5"/>
        </w:numPr>
        <w:pBdr>
          <w:top w:val="single" w:sz="4" w:space="1" w:color="auto"/>
          <w:left w:val="single" w:sz="4" w:space="1" w:color="auto"/>
          <w:bottom w:val="single" w:sz="4" w:space="1" w:color="auto"/>
          <w:right w:val="single" w:sz="4" w:space="1" w:color="auto"/>
        </w:pBdr>
        <w:spacing w:before="40"/>
        <w:rPr>
          <w:rFonts w:ascii="Arial" w:hAnsi="Arial" w:cs="Arial"/>
          <w:sz w:val="20"/>
        </w:rPr>
      </w:pPr>
      <w:r w:rsidRPr="00635D8D">
        <w:rPr>
          <w:rFonts w:ascii="Arial" w:hAnsi="Arial" w:cs="Arial"/>
          <w:sz w:val="20"/>
        </w:rPr>
        <w:t>Handout 2.3: Case Analysis of Application of the Minimum Standards for Education: Preparedness, Response, Recovery</w:t>
      </w:r>
    </w:p>
    <w:p w:rsidR="00635D8D" w:rsidRPr="00635D8D" w:rsidRDefault="00635D8D" w:rsidP="009C624E">
      <w:pPr>
        <w:pStyle w:val="dots"/>
        <w:numPr>
          <w:ilvl w:val="0"/>
          <w:numId w:val="5"/>
        </w:numPr>
        <w:pBdr>
          <w:top w:val="single" w:sz="4" w:space="1" w:color="auto"/>
          <w:left w:val="single" w:sz="4" w:space="1" w:color="auto"/>
          <w:bottom w:val="single" w:sz="4" w:space="1" w:color="auto"/>
          <w:right w:val="single" w:sz="4" w:space="1" w:color="auto"/>
        </w:pBdr>
        <w:spacing w:before="40"/>
        <w:rPr>
          <w:rFonts w:ascii="Arial" w:hAnsi="Arial" w:cs="Arial"/>
          <w:sz w:val="20"/>
        </w:rPr>
      </w:pPr>
      <w:r w:rsidRPr="00635D8D">
        <w:rPr>
          <w:rFonts w:ascii="Arial" w:hAnsi="Arial" w:cs="Arial"/>
          <w:sz w:val="20"/>
        </w:rPr>
        <w:t>Handout 2.4: Minimum Standards map [electronic and also on the back cover of the INEE Handbook]</w:t>
      </w:r>
    </w:p>
    <w:p w:rsidR="00635D8D" w:rsidRDefault="00635D8D" w:rsidP="009C624E">
      <w:pPr>
        <w:pStyle w:val="dots"/>
        <w:numPr>
          <w:ilvl w:val="0"/>
          <w:numId w:val="5"/>
        </w:numPr>
        <w:pBdr>
          <w:top w:val="single" w:sz="4" w:space="1" w:color="auto"/>
          <w:left w:val="single" w:sz="4" w:space="1" w:color="auto"/>
          <w:bottom w:val="single" w:sz="4" w:space="1" w:color="auto"/>
          <w:right w:val="single" w:sz="4" w:space="1" w:color="auto"/>
        </w:pBdr>
        <w:spacing w:before="40"/>
        <w:rPr>
          <w:rFonts w:ascii="Arial" w:hAnsi="Arial" w:cs="Arial"/>
          <w:sz w:val="20"/>
        </w:rPr>
      </w:pPr>
      <w:r w:rsidRPr="00635D8D">
        <w:rPr>
          <w:rFonts w:ascii="Arial" w:hAnsi="Arial" w:cs="Arial"/>
          <w:sz w:val="20"/>
        </w:rPr>
        <w:t>Handout 2.5: Uses of the Minimum Studies: Case Studies</w:t>
      </w:r>
    </w:p>
    <w:p w:rsidR="0075799A" w:rsidRPr="00635D8D" w:rsidRDefault="0075799A" w:rsidP="009C624E">
      <w:pPr>
        <w:pStyle w:val="dots"/>
        <w:numPr>
          <w:ilvl w:val="0"/>
          <w:numId w:val="5"/>
        </w:numPr>
        <w:pBdr>
          <w:top w:val="single" w:sz="4" w:space="1" w:color="auto"/>
          <w:left w:val="single" w:sz="4" w:space="1" w:color="auto"/>
          <w:bottom w:val="single" w:sz="4" w:space="1" w:color="auto"/>
          <w:right w:val="single" w:sz="4" w:space="1" w:color="auto"/>
        </w:pBdr>
        <w:spacing w:before="40"/>
        <w:rPr>
          <w:rFonts w:ascii="Arial" w:hAnsi="Arial" w:cs="Arial"/>
          <w:sz w:val="20"/>
        </w:rPr>
      </w:pPr>
      <w:r>
        <w:rPr>
          <w:rFonts w:ascii="Arial" w:hAnsi="Arial" w:cs="Arial"/>
          <w:sz w:val="20"/>
        </w:rPr>
        <w:t>Supplementary Exercise Handout 2.6: Teaching and Learning Part 2 (Response Scenario Iraq)</w:t>
      </w:r>
    </w:p>
    <w:p w:rsidR="00635D8D" w:rsidRPr="00635D8D" w:rsidRDefault="00635D8D" w:rsidP="009C624E">
      <w:pPr>
        <w:pStyle w:val="dots"/>
        <w:numPr>
          <w:ilvl w:val="0"/>
          <w:numId w:val="5"/>
        </w:numPr>
        <w:pBdr>
          <w:top w:val="single" w:sz="4" w:space="1" w:color="auto"/>
          <w:left w:val="single" w:sz="4" w:space="1" w:color="auto"/>
          <w:bottom w:val="single" w:sz="4" w:space="1" w:color="auto"/>
          <w:right w:val="single" w:sz="4" w:space="1" w:color="auto"/>
        </w:pBdr>
        <w:spacing w:before="40"/>
        <w:rPr>
          <w:rFonts w:ascii="Arial" w:hAnsi="Arial" w:cs="Arial"/>
          <w:sz w:val="20"/>
        </w:rPr>
      </w:pPr>
      <w:r w:rsidRPr="00635D8D">
        <w:rPr>
          <w:rFonts w:ascii="Arial" w:hAnsi="Arial" w:cs="Arial"/>
          <w:sz w:val="20"/>
        </w:rPr>
        <w:t>Thematic Issue Briefs [9 documents]</w:t>
      </w:r>
    </w:p>
    <w:p w:rsidR="00635D8D" w:rsidRPr="00635D8D" w:rsidRDefault="00635D8D" w:rsidP="009C624E">
      <w:pPr>
        <w:pStyle w:val="dots"/>
        <w:numPr>
          <w:ilvl w:val="0"/>
          <w:numId w:val="5"/>
        </w:numPr>
        <w:pBdr>
          <w:top w:val="single" w:sz="4" w:space="1" w:color="auto"/>
          <w:left w:val="single" w:sz="4" w:space="1" w:color="auto"/>
          <w:bottom w:val="single" w:sz="4" w:space="1" w:color="auto"/>
          <w:right w:val="single" w:sz="4" w:space="1" w:color="auto"/>
        </w:pBdr>
        <w:spacing w:before="40"/>
        <w:rPr>
          <w:rFonts w:ascii="Arial" w:hAnsi="Arial" w:cs="Arial"/>
          <w:sz w:val="20"/>
        </w:rPr>
      </w:pPr>
      <w:r w:rsidRPr="00635D8D">
        <w:rPr>
          <w:rFonts w:ascii="Arial" w:hAnsi="Arial" w:cs="Arial"/>
          <w:sz w:val="20"/>
        </w:rPr>
        <w:t>Minimum Standards Reference Tool [hard copy only to be requested from INEE]</w:t>
      </w:r>
    </w:p>
    <w:p w:rsidR="0051083C" w:rsidRPr="00DA2A02" w:rsidRDefault="00635D8D" w:rsidP="009C624E">
      <w:pPr>
        <w:pStyle w:val="dots"/>
        <w:numPr>
          <w:ilvl w:val="0"/>
          <w:numId w:val="5"/>
        </w:numPr>
        <w:pBdr>
          <w:top w:val="single" w:sz="4" w:space="1" w:color="auto"/>
          <w:left w:val="single" w:sz="4" w:space="1" w:color="auto"/>
          <w:bottom w:val="single" w:sz="4" w:space="1" w:color="auto"/>
          <w:right w:val="single" w:sz="4" w:space="1" w:color="auto"/>
        </w:pBdr>
        <w:spacing w:before="40"/>
        <w:rPr>
          <w:rFonts w:ascii="Arial" w:hAnsi="Arial" w:cs="Arial"/>
          <w:sz w:val="20"/>
        </w:rPr>
      </w:pPr>
      <w:r w:rsidRPr="00635D8D">
        <w:rPr>
          <w:rFonts w:ascii="Arial" w:hAnsi="Arial" w:cs="Arial"/>
          <w:sz w:val="20"/>
        </w:rPr>
        <w:t>Flip chart and markers</w:t>
      </w:r>
    </w:p>
    <w:p w:rsidR="000F095B" w:rsidRPr="008D301B" w:rsidRDefault="000F095B" w:rsidP="000F095B">
      <w:pPr>
        <w:pStyle w:val="dots"/>
        <w:numPr>
          <w:ilvl w:val="0"/>
          <w:numId w:val="0"/>
        </w:numPr>
        <w:pBdr>
          <w:top w:val="single" w:sz="4" w:space="1" w:color="auto"/>
          <w:left w:val="single" w:sz="4" w:space="1" w:color="auto"/>
          <w:bottom w:val="single" w:sz="4" w:space="1" w:color="auto"/>
          <w:right w:val="single" w:sz="4" w:space="1" w:color="auto"/>
        </w:pBdr>
        <w:rPr>
          <w:rFonts w:ascii="Arial" w:hAnsi="Arial" w:cs="Arial"/>
          <w:b/>
          <w:i/>
          <w:sz w:val="22"/>
          <w:szCs w:val="22"/>
        </w:rPr>
      </w:pPr>
    </w:p>
    <w:p w:rsidR="000F095B" w:rsidRPr="008D301B" w:rsidRDefault="000F095B" w:rsidP="000F095B">
      <w:pPr>
        <w:pStyle w:val="dots"/>
        <w:numPr>
          <w:ilvl w:val="0"/>
          <w:numId w:val="0"/>
        </w:numPr>
        <w:pBdr>
          <w:top w:val="single" w:sz="4" w:space="1" w:color="auto"/>
          <w:left w:val="single" w:sz="4" w:space="1" w:color="auto"/>
          <w:bottom w:val="single" w:sz="4" w:space="1" w:color="auto"/>
          <w:right w:val="single" w:sz="4" w:space="1" w:color="auto"/>
        </w:pBdr>
        <w:rPr>
          <w:rFonts w:ascii="Arial" w:hAnsi="Arial" w:cs="Arial"/>
          <w:bCs/>
          <w:i/>
          <w:sz w:val="22"/>
          <w:szCs w:val="22"/>
        </w:rPr>
      </w:pPr>
      <w:r w:rsidRPr="008D301B">
        <w:rPr>
          <w:rFonts w:ascii="Arial" w:hAnsi="Arial" w:cs="Arial"/>
          <w:b/>
          <w:i/>
          <w:sz w:val="22"/>
          <w:szCs w:val="22"/>
        </w:rPr>
        <w:t xml:space="preserve">Preparation for this session:   </w:t>
      </w:r>
    </w:p>
    <w:p w:rsidR="00635D8D" w:rsidRPr="00635D8D" w:rsidRDefault="00635D8D" w:rsidP="00EF1D3C">
      <w:pPr>
        <w:pStyle w:val="dots"/>
        <w:numPr>
          <w:ilvl w:val="0"/>
          <w:numId w:val="6"/>
        </w:numPr>
        <w:pBdr>
          <w:top w:val="single" w:sz="4" w:space="1" w:color="auto"/>
          <w:left w:val="single" w:sz="4" w:space="1" w:color="auto"/>
          <w:bottom w:val="single" w:sz="4" w:space="1" w:color="auto"/>
          <w:right w:val="single" w:sz="4" w:space="1" w:color="auto"/>
        </w:pBdr>
        <w:tabs>
          <w:tab w:val="clear" w:pos="720"/>
          <w:tab w:val="num" w:pos="360"/>
        </w:tabs>
        <w:spacing w:before="40"/>
        <w:ind w:left="357" w:hanging="357"/>
        <w:rPr>
          <w:rFonts w:ascii="Arial" w:hAnsi="Arial" w:cs="Arial"/>
          <w:sz w:val="20"/>
        </w:rPr>
      </w:pPr>
      <w:r w:rsidRPr="00635D8D">
        <w:rPr>
          <w:rFonts w:ascii="Arial" w:hAnsi="Arial" w:cs="Arial"/>
          <w:sz w:val="20"/>
        </w:rPr>
        <w:t>Review Session slide presentations</w:t>
      </w:r>
    </w:p>
    <w:p w:rsidR="00635D8D" w:rsidRPr="00635D8D" w:rsidRDefault="00635D8D" w:rsidP="00EF1D3C">
      <w:pPr>
        <w:pStyle w:val="dots"/>
        <w:numPr>
          <w:ilvl w:val="0"/>
          <w:numId w:val="6"/>
        </w:numPr>
        <w:pBdr>
          <w:top w:val="single" w:sz="4" w:space="1" w:color="auto"/>
          <w:left w:val="single" w:sz="4" w:space="1" w:color="auto"/>
          <w:bottom w:val="single" w:sz="4" w:space="1" w:color="auto"/>
          <w:right w:val="single" w:sz="4" w:space="1" w:color="auto"/>
        </w:pBdr>
        <w:tabs>
          <w:tab w:val="clear" w:pos="720"/>
          <w:tab w:val="num" w:pos="360"/>
        </w:tabs>
        <w:spacing w:before="40"/>
        <w:ind w:left="357" w:hanging="357"/>
        <w:rPr>
          <w:rFonts w:ascii="Arial" w:hAnsi="Arial" w:cs="Arial"/>
          <w:sz w:val="20"/>
        </w:rPr>
      </w:pPr>
      <w:r w:rsidRPr="00635D8D">
        <w:rPr>
          <w:rFonts w:ascii="Arial" w:hAnsi="Arial" w:cs="Arial"/>
          <w:sz w:val="20"/>
        </w:rPr>
        <w:t>Copies of Handouts 2.1, 2.2, 2.3, 2.4, Thematic briefs - one for each participant</w:t>
      </w:r>
    </w:p>
    <w:p w:rsidR="00635D8D" w:rsidRPr="00635D8D" w:rsidRDefault="00635D8D" w:rsidP="00EF1D3C">
      <w:pPr>
        <w:pStyle w:val="dots"/>
        <w:numPr>
          <w:ilvl w:val="0"/>
          <w:numId w:val="6"/>
        </w:numPr>
        <w:pBdr>
          <w:top w:val="single" w:sz="4" w:space="1" w:color="auto"/>
          <w:left w:val="single" w:sz="4" w:space="1" w:color="auto"/>
          <w:bottom w:val="single" w:sz="4" w:space="1" w:color="auto"/>
          <w:right w:val="single" w:sz="4" w:space="1" w:color="auto"/>
        </w:pBdr>
        <w:tabs>
          <w:tab w:val="clear" w:pos="720"/>
          <w:tab w:val="num" w:pos="360"/>
        </w:tabs>
        <w:spacing w:before="40"/>
        <w:ind w:left="357" w:hanging="357"/>
        <w:rPr>
          <w:rFonts w:ascii="Arial" w:hAnsi="Arial" w:cs="Arial"/>
          <w:sz w:val="20"/>
        </w:rPr>
      </w:pPr>
      <w:r w:rsidRPr="00635D8D">
        <w:rPr>
          <w:rFonts w:ascii="Arial" w:hAnsi="Arial" w:cs="Arial"/>
          <w:sz w:val="20"/>
        </w:rPr>
        <w:t>Prepare flip charts for case study analysis case study</w:t>
      </w:r>
    </w:p>
    <w:p w:rsidR="00635D8D" w:rsidRDefault="00635D8D" w:rsidP="00EF1D3C">
      <w:pPr>
        <w:pStyle w:val="dots"/>
        <w:numPr>
          <w:ilvl w:val="0"/>
          <w:numId w:val="6"/>
        </w:numPr>
        <w:pBdr>
          <w:top w:val="single" w:sz="4" w:space="1" w:color="auto"/>
          <w:left w:val="single" w:sz="4" w:space="1" w:color="auto"/>
          <w:bottom w:val="single" w:sz="4" w:space="1" w:color="auto"/>
          <w:right w:val="single" w:sz="4" w:space="1" w:color="auto"/>
        </w:pBdr>
        <w:tabs>
          <w:tab w:val="clear" w:pos="720"/>
          <w:tab w:val="num" w:pos="360"/>
        </w:tabs>
        <w:spacing w:before="40"/>
        <w:ind w:left="357" w:hanging="357"/>
        <w:rPr>
          <w:rFonts w:ascii="Arial" w:hAnsi="Arial" w:cs="Arial"/>
          <w:sz w:val="20"/>
        </w:rPr>
      </w:pPr>
      <w:r w:rsidRPr="00635D8D">
        <w:rPr>
          <w:rFonts w:ascii="Arial" w:hAnsi="Arial" w:cs="Arial"/>
          <w:sz w:val="20"/>
        </w:rPr>
        <w:t>Request all hard copy materials from INEE Secretariat, materials@ineesite.org</w:t>
      </w:r>
    </w:p>
    <w:p w:rsidR="000F095B" w:rsidRPr="008D301B" w:rsidRDefault="000F095B" w:rsidP="000F095B">
      <w:pPr>
        <w:pStyle w:val="dots"/>
        <w:numPr>
          <w:ilvl w:val="0"/>
          <w:numId w:val="0"/>
        </w:numPr>
        <w:pBdr>
          <w:top w:val="single" w:sz="4" w:space="1" w:color="auto"/>
          <w:left w:val="single" w:sz="4" w:space="1" w:color="auto"/>
          <w:bottom w:val="single" w:sz="4" w:space="1" w:color="auto"/>
          <w:right w:val="single" w:sz="4" w:space="1" w:color="auto"/>
        </w:pBdr>
        <w:rPr>
          <w:rFonts w:ascii="Arial" w:hAnsi="Arial" w:cs="Arial"/>
          <w:sz w:val="20"/>
        </w:rPr>
      </w:pPr>
    </w:p>
    <w:p w:rsidR="00C43841" w:rsidRPr="008D301B" w:rsidRDefault="0051083C" w:rsidP="00C43841">
      <w:pPr>
        <w:pStyle w:val="dots"/>
        <w:numPr>
          <w:ilvl w:val="0"/>
          <w:numId w:val="0"/>
        </w:numPr>
        <w:pBdr>
          <w:top w:val="single" w:sz="4" w:space="1" w:color="auto"/>
          <w:left w:val="single" w:sz="4" w:space="1" w:color="auto"/>
          <w:bottom w:val="single" w:sz="4" w:space="1" w:color="auto"/>
          <w:right w:val="single" w:sz="4" w:space="1" w:color="auto"/>
        </w:pBdr>
        <w:rPr>
          <w:rFonts w:ascii="Arial" w:hAnsi="Arial" w:cs="Arial"/>
          <w:b/>
          <w:i/>
          <w:sz w:val="22"/>
          <w:szCs w:val="22"/>
        </w:rPr>
      </w:pPr>
      <w:r>
        <w:rPr>
          <w:rFonts w:ascii="Arial" w:hAnsi="Arial" w:cs="Arial"/>
          <w:b/>
          <w:i/>
          <w:sz w:val="22"/>
          <w:szCs w:val="22"/>
        </w:rPr>
        <w:t>Additional Resources</w:t>
      </w:r>
      <w:r w:rsidR="00C43841">
        <w:rPr>
          <w:rFonts w:ascii="Arial" w:hAnsi="Arial" w:cs="Arial"/>
          <w:b/>
          <w:i/>
          <w:sz w:val="22"/>
          <w:szCs w:val="22"/>
        </w:rPr>
        <w:t>:</w:t>
      </w:r>
    </w:p>
    <w:p w:rsidR="00635D8D" w:rsidRPr="00635D8D" w:rsidRDefault="00635D8D" w:rsidP="00EF1D3C">
      <w:pPr>
        <w:numPr>
          <w:ilvl w:val="0"/>
          <w:numId w:val="7"/>
        </w:numPr>
        <w:pBdr>
          <w:top w:val="single" w:sz="4" w:space="1" w:color="auto"/>
          <w:left w:val="single" w:sz="4" w:space="1" w:color="auto"/>
          <w:bottom w:val="single" w:sz="4" w:space="1" w:color="auto"/>
          <w:right w:val="single" w:sz="4" w:space="1" w:color="auto"/>
        </w:pBdr>
        <w:spacing w:before="40" w:line="240" w:lineRule="auto"/>
        <w:ind w:left="357" w:hanging="357"/>
        <w:rPr>
          <w:rFonts w:ascii="Arial" w:hAnsi="Arial" w:cs="Arial"/>
          <w:bCs/>
          <w:sz w:val="20"/>
        </w:rPr>
      </w:pPr>
      <w:r w:rsidRPr="00635D8D">
        <w:rPr>
          <w:rFonts w:ascii="Arial" w:hAnsi="Arial" w:cs="Arial"/>
          <w:bCs/>
          <w:sz w:val="20"/>
        </w:rPr>
        <w:t>INEE Guidance Notes on Teaching and Learning</w:t>
      </w:r>
    </w:p>
    <w:p w:rsidR="00635D8D" w:rsidRPr="00635D8D" w:rsidRDefault="00635D8D" w:rsidP="00EF1D3C">
      <w:pPr>
        <w:numPr>
          <w:ilvl w:val="0"/>
          <w:numId w:val="7"/>
        </w:numPr>
        <w:pBdr>
          <w:top w:val="single" w:sz="4" w:space="1" w:color="auto"/>
          <w:left w:val="single" w:sz="4" w:space="1" w:color="auto"/>
          <w:bottom w:val="single" w:sz="4" w:space="1" w:color="auto"/>
          <w:right w:val="single" w:sz="4" w:space="1" w:color="auto"/>
        </w:pBdr>
        <w:spacing w:before="40" w:line="240" w:lineRule="auto"/>
        <w:ind w:left="357" w:hanging="357"/>
        <w:rPr>
          <w:rFonts w:ascii="Arial" w:hAnsi="Arial" w:cs="Arial"/>
          <w:bCs/>
          <w:sz w:val="20"/>
        </w:rPr>
      </w:pPr>
      <w:r w:rsidRPr="00635D8D">
        <w:rPr>
          <w:rFonts w:ascii="Arial" w:hAnsi="Arial" w:cs="Arial"/>
          <w:bCs/>
          <w:sz w:val="20"/>
        </w:rPr>
        <w:t>INEE Guidance Notes on Safer School Construction</w:t>
      </w:r>
    </w:p>
    <w:p w:rsidR="00635D8D" w:rsidRPr="00635D8D" w:rsidRDefault="00635D8D" w:rsidP="00EF1D3C">
      <w:pPr>
        <w:numPr>
          <w:ilvl w:val="0"/>
          <w:numId w:val="7"/>
        </w:numPr>
        <w:pBdr>
          <w:top w:val="single" w:sz="4" w:space="1" w:color="auto"/>
          <w:left w:val="single" w:sz="4" w:space="1" w:color="auto"/>
          <w:bottom w:val="single" w:sz="4" w:space="1" w:color="auto"/>
          <w:right w:val="single" w:sz="4" w:space="1" w:color="auto"/>
        </w:pBdr>
        <w:spacing w:before="40" w:line="240" w:lineRule="auto"/>
        <w:ind w:left="357" w:hanging="357"/>
        <w:rPr>
          <w:rFonts w:ascii="Arial" w:hAnsi="Arial" w:cs="Arial"/>
          <w:bCs/>
          <w:sz w:val="20"/>
        </w:rPr>
      </w:pPr>
      <w:r w:rsidRPr="00635D8D">
        <w:rPr>
          <w:rFonts w:ascii="Arial" w:hAnsi="Arial" w:cs="Arial"/>
          <w:bCs/>
          <w:sz w:val="20"/>
        </w:rPr>
        <w:t>INEE Guidance Pocket Guide to Gender</w:t>
      </w:r>
    </w:p>
    <w:p w:rsidR="00635D8D" w:rsidRPr="00635D8D" w:rsidRDefault="00635D8D" w:rsidP="00EF1D3C">
      <w:pPr>
        <w:numPr>
          <w:ilvl w:val="0"/>
          <w:numId w:val="7"/>
        </w:numPr>
        <w:pBdr>
          <w:top w:val="single" w:sz="4" w:space="1" w:color="auto"/>
          <w:left w:val="single" w:sz="4" w:space="1" w:color="auto"/>
          <w:bottom w:val="single" w:sz="4" w:space="1" w:color="auto"/>
          <w:right w:val="single" w:sz="4" w:space="1" w:color="auto"/>
        </w:pBdr>
        <w:spacing w:before="40" w:line="240" w:lineRule="auto"/>
        <w:ind w:left="357" w:hanging="357"/>
        <w:rPr>
          <w:rFonts w:ascii="Arial" w:hAnsi="Arial" w:cs="Arial"/>
          <w:bCs/>
          <w:sz w:val="20"/>
        </w:rPr>
      </w:pPr>
      <w:r w:rsidRPr="00635D8D">
        <w:rPr>
          <w:rFonts w:ascii="Arial" w:hAnsi="Arial" w:cs="Arial"/>
          <w:bCs/>
          <w:sz w:val="20"/>
        </w:rPr>
        <w:t>INEE Reference Guide on External Education Financing</w:t>
      </w:r>
    </w:p>
    <w:p w:rsidR="00C43841" w:rsidRPr="00813AD0" w:rsidRDefault="00635D8D" w:rsidP="00EF1D3C">
      <w:pPr>
        <w:numPr>
          <w:ilvl w:val="0"/>
          <w:numId w:val="7"/>
        </w:numPr>
        <w:pBdr>
          <w:top w:val="single" w:sz="4" w:space="1" w:color="auto"/>
          <w:left w:val="single" w:sz="4" w:space="1" w:color="auto"/>
          <w:bottom w:val="single" w:sz="4" w:space="1" w:color="auto"/>
          <w:right w:val="single" w:sz="4" w:space="1" w:color="auto"/>
        </w:pBdr>
        <w:spacing w:before="40" w:line="240" w:lineRule="auto"/>
        <w:ind w:left="357" w:hanging="357"/>
        <w:rPr>
          <w:rFonts w:ascii="Arial" w:hAnsi="Arial" w:cs="Arial"/>
          <w:bCs/>
          <w:sz w:val="20"/>
        </w:rPr>
      </w:pPr>
      <w:r w:rsidRPr="00635D8D">
        <w:rPr>
          <w:rFonts w:ascii="Arial" w:hAnsi="Arial" w:cs="Arial"/>
          <w:bCs/>
          <w:sz w:val="20"/>
        </w:rPr>
        <w:t>INEE Guidance Notes on Teacher Compensation</w:t>
      </w:r>
    </w:p>
    <w:p w:rsidR="00C43841" w:rsidRDefault="00C43841" w:rsidP="00C43841">
      <w:pPr>
        <w:pStyle w:val="dots"/>
        <w:numPr>
          <w:ilvl w:val="0"/>
          <w:numId w:val="0"/>
        </w:numPr>
        <w:pBdr>
          <w:top w:val="single" w:sz="4" w:space="1" w:color="auto"/>
          <w:left w:val="single" w:sz="4" w:space="1" w:color="auto"/>
          <w:bottom w:val="single" w:sz="4" w:space="1" w:color="auto"/>
          <w:right w:val="single" w:sz="4" w:space="1" w:color="auto"/>
        </w:pBdr>
        <w:rPr>
          <w:rFonts w:ascii="Arial" w:hAnsi="Arial" w:cs="Arial"/>
          <w:b/>
          <w:i/>
          <w:sz w:val="22"/>
          <w:szCs w:val="22"/>
        </w:rPr>
      </w:pPr>
    </w:p>
    <w:p w:rsidR="000F095B" w:rsidRPr="008D301B" w:rsidRDefault="000F095B" w:rsidP="000F095B">
      <w:pPr>
        <w:pStyle w:val="dots"/>
        <w:numPr>
          <w:ilvl w:val="0"/>
          <w:numId w:val="0"/>
        </w:numPr>
        <w:pBdr>
          <w:top w:val="single" w:sz="4" w:space="1" w:color="auto"/>
          <w:left w:val="single" w:sz="4" w:space="1" w:color="auto"/>
          <w:bottom w:val="single" w:sz="4" w:space="1" w:color="auto"/>
          <w:right w:val="single" w:sz="4" w:space="1" w:color="auto"/>
        </w:pBdr>
        <w:rPr>
          <w:rFonts w:ascii="Arial" w:hAnsi="Arial" w:cs="Arial"/>
          <w:b/>
          <w:i/>
          <w:sz w:val="22"/>
          <w:szCs w:val="22"/>
        </w:rPr>
      </w:pPr>
      <w:r w:rsidRPr="008D301B">
        <w:rPr>
          <w:rFonts w:ascii="Arial" w:hAnsi="Arial" w:cs="Arial"/>
          <w:b/>
          <w:i/>
          <w:sz w:val="22"/>
          <w:szCs w:val="22"/>
        </w:rPr>
        <w:t>Toolkit:</w:t>
      </w:r>
    </w:p>
    <w:p w:rsidR="00C43841" w:rsidRPr="00C43841" w:rsidRDefault="00C43841" w:rsidP="00EF1D3C">
      <w:pPr>
        <w:numPr>
          <w:ilvl w:val="0"/>
          <w:numId w:val="7"/>
        </w:numPr>
        <w:pBdr>
          <w:top w:val="single" w:sz="4" w:space="1" w:color="auto"/>
          <w:left w:val="single" w:sz="4" w:space="1" w:color="auto"/>
          <w:bottom w:val="single" w:sz="4" w:space="1" w:color="auto"/>
          <w:right w:val="single" w:sz="4" w:space="1" w:color="auto"/>
        </w:pBdr>
        <w:spacing w:before="40" w:line="240" w:lineRule="auto"/>
        <w:ind w:left="357" w:hanging="357"/>
        <w:rPr>
          <w:rFonts w:ascii="Arial" w:hAnsi="Arial" w:cs="Arial"/>
          <w:b/>
          <w:bCs/>
          <w:i/>
          <w:sz w:val="20"/>
        </w:rPr>
      </w:pPr>
      <w:r w:rsidRPr="00C43841">
        <w:rPr>
          <w:rFonts w:ascii="Arial" w:hAnsi="Arial" w:cs="Arial"/>
          <w:bCs/>
          <w:i/>
          <w:sz w:val="20"/>
        </w:rPr>
        <w:t>For local adaptation</w:t>
      </w:r>
    </w:p>
    <w:p w:rsidR="000F095B" w:rsidRDefault="000F095B" w:rsidP="000F095B">
      <w:pPr>
        <w:pStyle w:val="dots"/>
        <w:numPr>
          <w:ilvl w:val="0"/>
          <w:numId w:val="0"/>
        </w:numPr>
        <w:pBdr>
          <w:top w:val="single" w:sz="4" w:space="1" w:color="auto"/>
          <w:left w:val="single" w:sz="4" w:space="1" w:color="auto"/>
          <w:bottom w:val="single" w:sz="4" w:space="1" w:color="auto"/>
          <w:right w:val="single" w:sz="4" w:space="1" w:color="auto"/>
        </w:pBdr>
        <w:rPr>
          <w:rFonts w:ascii="Arial" w:hAnsi="Arial" w:cs="Arial"/>
          <w:b/>
          <w:sz w:val="22"/>
          <w:szCs w:val="22"/>
        </w:rPr>
      </w:pPr>
    </w:p>
    <w:p w:rsidR="000F095B" w:rsidRPr="000F095B" w:rsidRDefault="000F095B" w:rsidP="000F095B">
      <w:pPr>
        <w:pStyle w:val="dots"/>
        <w:numPr>
          <w:ilvl w:val="0"/>
          <w:numId w:val="0"/>
        </w:numPr>
        <w:pBdr>
          <w:top w:val="single" w:sz="4" w:space="1" w:color="auto"/>
          <w:left w:val="single" w:sz="4" w:space="1" w:color="auto"/>
          <w:bottom w:val="single" w:sz="4" w:space="1" w:color="auto"/>
          <w:right w:val="single" w:sz="4" w:space="1" w:color="auto"/>
        </w:pBdr>
        <w:rPr>
          <w:rFonts w:ascii="Arial" w:hAnsi="Arial" w:cs="Arial"/>
          <w:b/>
          <w:i/>
          <w:sz w:val="22"/>
          <w:szCs w:val="22"/>
        </w:rPr>
      </w:pPr>
      <w:r w:rsidRPr="000F095B">
        <w:rPr>
          <w:rFonts w:ascii="Arial" w:hAnsi="Arial" w:cs="Arial"/>
          <w:b/>
          <w:i/>
          <w:sz w:val="22"/>
          <w:szCs w:val="22"/>
        </w:rPr>
        <w:t>Supplementary Material</w:t>
      </w:r>
      <w:r>
        <w:rPr>
          <w:rFonts w:ascii="Arial" w:hAnsi="Arial" w:cs="Arial"/>
          <w:b/>
          <w:i/>
          <w:sz w:val="22"/>
          <w:szCs w:val="22"/>
        </w:rPr>
        <w:t>:</w:t>
      </w:r>
    </w:p>
    <w:p w:rsidR="00635D8D" w:rsidRPr="00635D8D" w:rsidRDefault="00635D8D" w:rsidP="00EF1D3C">
      <w:pPr>
        <w:numPr>
          <w:ilvl w:val="0"/>
          <w:numId w:val="7"/>
        </w:numPr>
        <w:pBdr>
          <w:top w:val="single" w:sz="4" w:space="1" w:color="auto"/>
          <w:left w:val="single" w:sz="4" w:space="1" w:color="auto"/>
          <w:bottom w:val="single" w:sz="4" w:space="1" w:color="auto"/>
          <w:right w:val="single" w:sz="4" w:space="1" w:color="auto"/>
        </w:pBdr>
        <w:spacing w:before="40" w:line="240" w:lineRule="auto"/>
        <w:ind w:left="357" w:hanging="357"/>
        <w:rPr>
          <w:rFonts w:ascii="Arial" w:hAnsi="Arial" w:cs="Arial"/>
          <w:bCs/>
          <w:sz w:val="20"/>
        </w:rPr>
      </w:pPr>
      <w:r w:rsidRPr="00635D8D">
        <w:rPr>
          <w:rFonts w:ascii="Arial" w:hAnsi="Arial" w:cs="Arial"/>
          <w:bCs/>
          <w:sz w:val="20"/>
        </w:rPr>
        <w:t>Applying the Minimum Standards to a Case Study: Conflict-induced Refugee Situation</w:t>
      </w:r>
      <w:r>
        <w:rPr>
          <w:rFonts w:ascii="Arial" w:hAnsi="Arial" w:cs="Arial"/>
          <w:bCs/>
          <w:sz w:val="20"/>
        </w:rPr>
        <w:t xml:space="preserve"> </w:t>
      </w:r>
      <w:r w:rsidRPr="00635D8D">
        <w:rPr>
          <w:rFonts w:ascii="Arial" w:hAnsi="Arial" w:cs="Arial"/>
          <w:bCs/>
          <w:sz w:val="20"/>
        </w:rPr>
        <w:t>(30 minutes)</w:t>
      </w:r>
    </w:p>
    <w:p w:rsidR="00635D8D" w:rsidRPr="00635D8D" w:rsidRDefault="00635D8D" w:rsidP="00EF1D3C">
      <w:pPr>
        <w:numPr>
          <w:ilvl w:val="0"/>
          <w:numId w:val="7"/>
        </w:numPr>
        <w:pBdr>
          <w:top w:val="single" w:sz="4" w:space="1" w:color="auto"/>
          <w:left w:val="single" w:sz="4" w:space="1" w:color="auto"/>
          <w:bottom w:val="single" w:sz="4" w:space="1" w:color="auto"/>
          <w:right w:val="single" w:sz="4" w:space="1" w:color="auto"/>
        </w:pBdr>
        <w:spacing w:before="40" w:line="240" w:lineRule="auto"/>
        <w:ind w:left="357" w:hanging="357"/>
        <w:rPr>
          <w:rFonts w:ascii="Arial" w:hAnsi="Arial" w:cs="Arial"/>
          <w:bCs/>
          <w:sz w:val="20"/>
        </w:rPr>
      </w:pPr>
      <w:r w:rsidRPr="00635D8D">
        <w:rPr>
          <w:rFonts w:ascii="Arial" w:hAnsi="Arial" w:cs="Arial"/>
          <w:bCs/>
          <w:sz w:val="20"/>
        </w:rPr>
        <w:t>Uses of the Minimum Standards for Education (20 minutes)</w:t>
      </w:r>
    </w:p>
    <w:p w:rsidR="00A14939" w:rsidRDefault="00A14939" w:rsidP="00EF1D3C">
      <w:pPr>
        <w:numPr>
          <w:ilvl w:val="0"/>
          <w:numId w:val="7"/>
        </w:numPr>
        <w:pBdr>
          <w:top w:val="single" w:sz="4" w:space="1" w:color="auto"/>
          <w:left w:val="single" w:sz="4" w:space="1" w:color="auto"/>
          <w:bottom w:val="single" w:sz="4" w:space="1" w:color="auto"/>
          <w:right w:val="single" w:sz="4" w:space="1" w:color="auto"/>
        </w:pBdr>
        <w:spacing w:before="40" w:line="240" w:lineRule="auto"/>
        <w:ind w:left="357" w:hanging="357"/>
        <w:rPr>
          <w:rFonts w:ascii="Arial" w:hAnsi="Arial" w:cs="Arial"/>
          <w:bCs/>
          <w:sz w:val="20"/>
        </w:rPr>
      </w:pPr>
      <w:r w:rsidRPr="00635D8D">
        <w:rPr>
          <w:rFonts w:ascii="Arial" w:hAnsi="Arial" w:cs="Arial"/>
          <w:bCs/>
          <w:sz w:val="20"/>
        </w:rPr>
        <w:t>Applying the Guidance Notes on Teaching and Learning (50 minutes</w:t>
      </w:r>
      <w:r>
        <w:rPr>
          <w:rFonts w:ascii="Arial" w:hAnsi="Arial" w:cs="Arial"/>
          <w:bCs/>
          <w:sz w:val="20"/>
        </w:rPr>
        <w:t>)</w:t>
      </w:r>
    </w:p>
    <w:p w:rsidR="00635D8D" w:rsidRPr="00635D8D" w:rsidRDefault="00635D8D" w:rsidP="00EF1D3C">
      <w:pPr>
        <w:numPr>
          <w:ilvl w:val="0"/>
          <w:numId w:val="7"/>
        </w:numPr>
        <w:pBdr>
          <w:top w:val="single" w:sz="4" w:space="1" w:color="auto"/>
          <w:left w:val="single" w:sz="4" w:space="1" w:color="auto"/>
          <w:bottom w:val="single" w:sz="4" w:space="1" w:color="auto"/>
          <w:right w:val="single" w:sz="4" w:space="1" w:color="auto"/>
        </w:pBdr>
        <w:spacing w:before="40" w:line="240" w:lineRule="auto"/>
        <w:ind w:left="357" w:hanging="357"/>
        <w:rPr>
          <w:rFonts w:ascii="Arial" w:hAnsi="Arial" w:cs="Arial"/>
          <w:bCs/>
          <w:sz w:val="20"/>
        </w:rPr>
      </w:pPr>
      <w:r w:rsidRPr="00635D8D">
        <w:rPr>
          <w:rFonts w:ascii="Arial" w:hAnsi="Arial" w:cs="Arial"/>
          <w:bCs/>
          <w:sz w:val="20"/>
        </w:rPr>
        <w:t>INEE Toolkit [can also be accessed from www.ineesite.org/toolkit]</w:t>
      </w:r>
    </w:p>
    <w:p w:rsidR="007511D1" w:rsidRPr="00EF1D3C" w:rsidRDefault="00635D8D" w:rsidP="000F095B">
      <w:pPr>
        <w:numPr>
          <w:ilvl w:val="0"/>
          <w:numId w:val="7"/>
        </w:numPr>
        <w:pBdr>
          <w:top w:val="single" w:sz="4" w:space="1" w:color="auto"/>
          <w:left w:val="single" w:sz="4" w:space="1" w:color="auto"/>
          <w:bottom w:val="single" w:sz="4" w:space="1" w:color="auto"/>
          <w:right w:val="single" w:sz="4" w:space="1" w:color="auto"/>
        </w:pBdr>
        <w:spacing w:before="40" w:after="120" w:line="240" w:lineRule="auto"/>
        <w:ind w:left="357" w:hanging="357"/>
        <w:rPr>
          <w:rFonts w:ascii="Arial" w:hAnsi="Arial" w:cs="Arial"/>
          <w:b/>
          <w:sz w:val="22"/>
          <w:szCs w:val="22"/>
        </w:rPr>
      </w:pPr>
      <w:r w:rsidRPr="00EF1D3C">
        <w:rPr>
          <w:rFonts w:ascii="Arial" w:hAnsi="Arial" w:cs="Arial"/>
          <w:bCs/>
          <w:sz w:val="20"/>
        </w:rPr>
        <w:t xml:space="preserve">Additional materials on www.ineesite.org </w:t>
      </w:r>
    </w:p>
    <w:p w:rsidR="00335839" w:rsidRDefault="00335839">
      <w:pPr>
        <w:spacing w:after="200"/>
      </w:pPr>
    </w:p>
    <w:p w:rsidR="002C7330" w:rsidRDefault="00635D8D" w:rsidP="002C7330">
      <w:pPr>
        <w:pBdr>
          <w:top w:val="single" w:sz="4" w:space="1" w:color="auto"/>
          <w:bottom w:val="single" w:sz="4" w:space="1" w:color="auto"/>
        </w:pBdr>
        <w:rPr>
          <w:rFonts w:ascii="Arial" w:hAnsi="Arial" w:cs="Arial"/>
          <w:b/>
          <w:sz w:val="22"/>
          <w:szCs w:val="22"/>
        </w:rPr>
      </w:pPr>
      <w:r w:rsidRPr="00635D8D">
        <w:rPr>
          <w:rFonts w:ascii="Arial" w:hAnsi="Arial" w:cs="Arial"/>
          <w:b/>
          <w:sz w:val="28"/>
          <w:szCs w:val="28"/>
        </w:rPr>
        <w:lastRenderedPageBreak/>
        <w:t>1.  Overview of the Minimum Standards for Education: Preparedness, Response, Recovery</w:t>
      </w:r>
    </w:p>
    <w:p w:rsidR="002C3293" w:rsidRPr="00A44615" w:rsidRDefault="00C144FA" w:rsidP="00C87842">
      <w:pPr>
        <w:spacing w:before="120" w:after="120"/>
        <w:rPr>
          <w:rFonts w:ascii="Arial" w:hAnsi="Arial" w:cs="Arial"/>
          <w:b/>
          <w:sz w:val="22"/>
          <w:szCs w:val="22"/>
        </w:rPr>
      </w:pPr>
      <w:r>
        <w:rPr>
          <w:rFonts w:ascii="Arial" w:hAnsi="Arial" w:cs="Arial"/>
          <w:b/>
          <w:sz w:val="22"/>
          <w:szCs w:val="22"/>
        </w:rPr>
        <w:t>20</w:t>
      </w:r>
      <w:r w:rsidR="002C3293" w:rsidRPr="00EB6E7C">
        <w:rPr>
          <w:rFonts w:ascii="Arial" w:hAnsi="Arial" w:cs="Arial"/>
          <w:b/>
          <w:sz w:val="22"/>
          <w:szCs w:val="22"/>
        </w:rPr>
        <w:t xml:space="preserve"> minutes</w:t>
      </w:r>
    </w:p>
    <w:tbl>
      <w:tblPr>
        <w:tblW w:w="9920" w:type="dxa"/>
        <w:jc w:val="center"/>
        <w:tblInd w:w="88" w:type="dxa"/>
        <w:tblBorders>
          <w:bottom w:val="single" w:sz="4" w:space="0" w:color="auto"/>
        </w:tblBorders>
        <w:tblLook w:val="0000"/>
      </w:tblPr>
      <w:tblGrid>
        <w:gridCol w:w="2900"/>
        <w:gridCol w:w="7020"/>
      </w:tblGrid>
      <w:tr w:rsidR="002C3293" w:rsidRPr="00EB6E7C" w:rsidTr="00B92D7A">
        <w:trPr>
          <w:trHeight w:val="255"/>
          <w:jc w:val="center"/>
        </w:trPr>
        <w:tc>
          <w:tcPr>
            <w:tcW w:w="2900" w:type="dxa"/>
            <w:shd w:val="clear" w:color="auto" w:fill="auto"/>
            <w:noWrap/>
          </w:tcPr>
          <w:p w:rsidR="002C3293" w:rsidRDefault="002C3293" w:rsidP="00B92D7A">
            <w:pPr>
              <w:rPr>
                <w:noProof/>
                <w:sz w:val="16"/>
                <w:szCs w:val="16"/>
                <w:lang w:eastAsia="en-GB"/>
              </w:rPr>
            </w:pPr>
          </w:p>
          <w:p w:rsidR="002C3293" w:rsidRPr="0074495A" w:rsidRDefault="007522E0" w:rsidP="00B92D7A">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564217" cy="1173163"/>
                  <wp:effectExtent l="19050" t="19050" r="16933" b="26987"/>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1567489" cy="1175617"/>
                          </a:xfrm>
                          <a:prstGeom prst="rect">
                            <a:avLst/>
                          </a:prstGeom>
                          <a:noFill/>
                          <a:ln>
                            <a:solidFill>
                              <a:schemeClr val="accent1"/>
                            </a:solidFill>
                          </a:ln>
                        </pic:spPr>
                      </pic:pic>
                    </a:graphicData>
                  </a:graphic>
                </wp:inline>
              </w:drawing>
            </w:r>
          </w:p>
          <w:p w:rsidR="002C3293" w:rsidRDefault="002C3293" w:rsidP="00B92D7A">
            <w:pPr>
              <w:rPr>
                <w:rFonts w:ascii="Arial" w:eastAsia="Times New Roman" w:hAnsi="Arial" w:cs="Arial"/>
                <w:sz w:val="16"/>
                <w:szCs w:val="16"/>
              </w:rPr>
            </w:pPr>
          </w:p>
          <w:p w:rsidR="002C3293" w:rsidRDefault="007522E0" w:rsidP="00B92D7A">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524001" cy="1143000"/>
                  <wp:effectExtent l="19050" t="19050" r="19049" b="19050"/>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1522965" cy="1142223"/>
                          </a:xfrm>
                          <a:prstGeom prst="rect">
                            <a:avLst/>
                          </a:prstGeom>
                          <a:noFill/>
                          <a:ln>
                            <a:solidFill>
                              <a:schemeClr val="accent1"/>
                            </a:solidFill>
                          </a:ln>
                        </pic:spPr>
                      </pic:pic>
                    </a:graphicData>
                  </a:graphic>
                </wp:inline>
              </w:drawing>
            </w:r>
          </w:p>
          <w:p w:rsidR="007522E0" w:rsidRDefault="007522E0" w:rsidP="00B92D7A">
            <w:pPr>
              <w:rPr>
                <w:rFonts w:ascii="Arial" w:eastAsia="Times New Roman" w:hAnsi="Arial" w:cs="Arial"/>
                <w:sz w:val="16"/>
                <w:szCs w:val="16"/>
              </w:rPr>
            </w:pPr>
          </w:p>
          <w:p w:rsidR="00B1651B" w:rsidRDefault="00B1651B" w:rsidP="00B92D7A">
            <w:pPr>
              <w:rPr>
                <w:rFonts w:ascii="Arial" w:eastAsia="Times New Roman" w:hAnsi="Arial" w:cs="Arial"/>
                <w:sz w:val="16"/>
                <w:szCs w:val="16"/>
              </w:rPr>
            </w:pPr>
          </w:p>
          <w:p w:rsidR="00B1651B" w:rsidRDefault="00B1651B" w:rsidP="00B92D7A">
            <w:pPr>
              <w:rPr>
                <w:rFonts w:ascii="Arial" w:eastAsia="Times New Roman" w:hAnsi="Arial" w:cs="Arial"/>
                <w:sz w:val="16"/>
                <w:szCs w:val="16"/>
              </w:rPr>
            </w:pPr>
          </w:p>
          <w:p w:rsidR="00B1651B" w:rsidRPr="0074495A" w:rsidRDefault="00B1651B" w:rsidP="00B92D7A">
            <w:pPr>
              <w:rPr>
                <w:rFonts w:ascii="Arial" w:eastAsia="Times New Roman" w:hAnsi="Arial" w:cs="Arial"/>
                <w:sz w:val="16"/>
                <w:szCs w:val="16"/>
              </w:rPr>
            </w:pPr>
          </w:p>
          <w:p w:rsidR="002C3293" w:rsidRDefault="007522E0" w:rsidP="00B92D7A">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564640" cy="1173480"/>
                  <wp:effectExtent l="19050" t="19050" r="16510" b="26670"/>
                  <wp:docPr id="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1565173" cy="1173880"/>
                          </a:xfrm>
                          <a:prstGeom prst="rect">
                            <a:avLst/>
                          </a:prstGeom>
                          <a:noFill/>
                          <a:ln>
                            <a:solidFill>
                              <a:schemeClr val="accent1"/>
                            </a:solidFill>
                          </a:ln>
                        </pic:spPr>
                      </pic:pic>
                    </a:graphicData>
                  </a:graphic>
                </wp:inline>
              </w:drawing>
            </w:r>
          </w:p>
          <w:p w:rsidR="00884521" w:rsidRPr="0074495A" w:rsidRDefault="00884521" w:rsidP="00B92D7A">
            <w:pPr>
              <w:rPr>
                <w:rFonts w:ascii="Arial" w:eastAsia="Times New Roman" w:hAnsi="Arial" w:cs="Arial"/>
                <w:sz w:val="16"/>
                <w:szCs w:val="16"/>
              </w:rPr>
            </w:pPr>
          </w:p>
          <w:p w:rsidR="002C3293" w:rsidRPr="0074495A" w:rsidRDefault="007522E0" w:rsidP="00B92D7A">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581857" cy="1186392"/>
                  <wp:effectExtent l="19050" t="19050" r="18343" b="13758"/>
                  <wp:docPr id="1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1582027" cy="1186519"/>
                          </a:xfrm>
                          <a:prstGeom prst="rect">
                            <a:avLst/>
                          </a:prstGeom>
                          <a:noFill/>
                          <a:ln>
                            <a:solidFill>
                              <a:schemeClr val="accent1"/>
                            </a:solidFill>
                          </a:ln>
                        </pic:spPr>
                      </pic:pic>
                    </a:graphicData>
                  </a:graphic>
                </wp:inline>
              </w:drawing>
            </w:r>
          </w:p>
          <w:p w:rsidR="002C3293" w:rsidRPr="0074495A" w:rsidRDefault="002C3293" w:rsidP="00B92D7A">
            <w:pPr>
              <w:rPr>
                <w:sz w:val="16"/>
                <w:szCs w:val="16"/>
              </w:rPr>
            </w:pPr>
          </w:p>
          <w:p w:rsidR="002C3293" w:rsidRPr="0074495A" w:rsidRDefault="007522E0" w:rsidP="00B92D7A">
            <w:pPr>
              <w:rPr>
                <w:sz w:val="16"/>
                <w:szCs w:val="16"/>
              </w:rPr>
            </w:pPr>
            <w:r>
              <w:rPr>
                <w:noProof/>
                <w:sz w:val="16"/>
                <w:szCs w:val="16"/>
                <w:lang w:eastAsia="en-GB"/>
              </w:rPr>
              <w:drawing>
                <wp:inline distT="0" distB="0" distL="0" distR="0">
                  <wp:extent cx="1582420" cy="1186815"/>
                  <wp:effectExtent l="19050" t="19050" r="17780" b="13335"/>
                  <wp:docPr id="1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srcRect/>
                          <a:stretch>
                            <a:fillRect/>
                          </a:stretch>
                        </pic:blipFill>
                        <pic:spPr bwMode="auto">
                          <a:xfrm>
                            <a:off x="0" y="0"/>
                            <a:ext cx="1583153" cy="1187365"/>
                          </a:xfrm>
                          <a:prstGeom prst="rect">
                            <a:avLst/>
                          </a:prstGeom>
                          <a:noFill/>
                          <a:ln>
                            <a:solidFill>
                              <a:schemeClr val="accent1"/>
                            </a:solidFill>
                          </a:ln>
                        </pic:spPr>
                      </pic:pic>
                    </a:graphicData>
                  </a:graphic>
                </wp:inline>
              </w:drawing>
            </w:r>
          </w:p>
          <w:p w:rsidR="002C3293" w:rsidRPr="0074495A" w:rsidRDefault="002C3293" w:rsidP="00B92D7A">
            <w:pPr>
              <w:rPr>
                <w:sz w:val="16"/>
                <w:szCs w:val="16"/>
              </w:rPr>
            </w:pPr>
          </w:p>
          <w:p w:rsidR="002C3293" w:rsidRPr="0074495A" w:rsidRDefault="002C3293" w:rsidP="00B92D7A">
            <w:pPr>
              <w:rPr>
                <w:sz w:val="16"/>
                <w:szCs w:val="16"/>
              </w:rPr>
            </w:pPr>
          </w:p>
          <w:p w:rsidR="002C3293" w:rsidRDefault="002C3293" w:rsidP="00B92D7A">
            <w:pPr>
              <w:rPr>
                <w:rFonts w:ascii="Arial" w:eastAsia="Times New Roman" w:hAnsi="Arial" w:cs="Arial"/>
                <w:sz w:val="16"/>
                <w:szCs w:val="16"/>
              </w:rPr>
            </w:pPr>
          </w:p>
          <w:p w:rsidR="007522E0" w:rsidRDefault="007522E0" w:rsidP="00B92D7A">
            <w:pPr>
              <w:rPr>
                <w:rFonts w:ascii="Arial" w:eastAsia="Times New Roman" w:hAnsi="Arial" w:cs="Arial"/>
                <w:sz w:val="16"/>
                <w:szCs w:val="16"/>
              </w:rPr>
            </w:pPr>
          </w:p>
          <w:p w:rsidR="007522E0" w:rsidRDefault="007522E0" w:rsidP="00B92D7A">
            <w:pPr>
              <w:rPr>
                <w:rFonts w:ascii="Arial" w:eastAsia="Times New Roman" w:hAnsi="Arial" w:cs="Arial"/>
                <w:sz w:val="16"/>
                <w:szCs w:val="16"/>
              </w:rPr>
            </w:pPr>
          </w:p>
          <w:p w:rsidR="007522E0" w:rsidRDefault="007522E0" w:rsidP="00B92D7A">
            <w:pPr>
              <w:rPr>
                <w:rFonts w:ascii="Arial" w:eastAsia="Times New Roman" w:hAnsi="Arial" w:cs="Arial"/>
                <w:sz w:val="16"/>
                <w:szCs w:val="16"/>
              </w:rPr>
            </w:pPr>
          </w:p>
          <w:p w:rsidR="007522E0" w:rsidRDefault="007522E0" w:rsidP="00B92D7A">
            <w:pPr>
              <w:rPr>
                <w:rFonts w:ascii="Arial" w:eastAsia="Times New Roman" w:hAnsi="Arial" w:cs="Arial"/>
                <w:sz w:val="16"/>
                <w:szCs w:val="16"/>
              </w:rPr>
            </w:pPr>
          </w:p>
          <w:p w:rsidR="00B1651B" w:rsidRDefault="00B1651B" w:rsidP="00B92D7A">
            <w:pPr>
              <w:rPr>
                <w:rFonts w:ascii="Arial" w:eastAsia="Times New Roman" w:hAnsi="Arial" w:cs="Arial"/>
                <w:sz w:val="16"/>
                <w:szCs w:val="16"/>
              </w:rPr>
            </w:pPr>
          </w:p>
          <w:p w:rsidR="00B1651B" w:rsidRDefault="00B1651B" w:rsidP="00B92D7A">
            <w:pPr>
              <w:rPr>
                <w:rFonts w:ascii="Arial" w:eastAsia="Times New Roman" w:hAnsi="Arial" w:cs="Arial"/>
                <w:sz w:val="16"/>
                <w:szCs w:val="16"/>
              </w:rPr>
            </w:pPr>
          </w:p>
          <w:p w:rsidR="00B1651B" w:rsidRDefault="00B1651B" w:rsidP="00B92D7A">
            <w:pPr>
              <w:rPr>
                <w:rFonts w:ascii="Arial" w:eastAsia="Times New Roman" w:hAnsi="Arial" w:cs="Arial"/>
                <w:sz w:val="16"/>
                <w:szCs w:val="16"/>
              </w:rPr>
            </w:pPr>
          </w:p>
          <w:p w:rsidR="00B1651B" w:rsidRDefault="00B1651B" w:rsidP="00B92D7A">
            <w:pPr>
              <w:rPr>
                <w:rFonts w:ascii="Arial" w:eastAsia="Times New Roman" w:hAnsi="Arial" w:cs="Arial"/>
                <w:sz w:val="16"/>
                <w:szCs w:val="16"/>
              </w:rPr>
            </w:pPr>
          </w:p>
          <w:p w:rsidR="00B1651B" w:rsidRDefault="00B1651B" w:rsidP="00B92D7A">
            <w:pPr>
              <w:rPr>
                <w:rFonts w:ascii="Arial" w:eastAsia="Times New Roman" w:hAnsi="Arial" w:cs="Arial"/>
                <w:sz w:val="16"/>
                <w:szCs w:val="16"/>
              </w:rPr>
            </w:pPr>
          </w:p>
          <w:p w:rsidR="00B1651B" w:rsidRDefault="00B1651B" w:rsidP="00B92D7A">
            <w:pPr>
              <w:rPr>
                <w:rFonts w:ascii="Arial" w:eastAsia="Times New Roman" w:hAnsi="Arial" w:cs="Arial"/>
                <w:sz w:val="16"/>
                <w:szCs w:val="16"/>
              </w:rPr>
            </w:pPr>
          </w:p>
          <w:p w:rsidR="00B1651B" w:rsidRDefault="00B1651B" w:rsidP="00B92D7A">
            <w:pPr>
              <w:rPr>
                <w:rFonts w:ascii="Arial" w:eastAsia="Times New Roman" w:hAnsi="Arial" w:cs="Arial"/>
                <w:sz w:val="16"/>
                <w:szCs w:val="16"/>
              </w:rPr>
            </w:pPr>
          </w:p>
          <w:p w:rsidR="00FC05AC" w:rsidRDefault="00FC05AC" w:rsidP="00B92D7A">
            <w:pPr>
              <w:rPr>
                <w:rFonts w:ascii="Arial" w:eastAsia="Times New Roman" w:hAnsi="Arial" w:cs="Arial"/>
                <w:sz w:val="16"/>
                <w:szCs w:val="16"/>
              </w:rPr>
            </w:pPr>
          </w:p>
          <w:p w:rsidR="00FC05AC" w:rsidRDefault="00FC05AC" w:rsidP="00B92D7A">
            <w:pPr>
              <w:rPr>
                <w:rFonts w:ascii="Arial" w:eastAsia="Times New Roman" w:hAnsi="Arial" w:cs="Arial"/>
                <w:sz w:val="16"/>
                <w:szCs w:val="16"/>
              </w:rPr>
            </w:pPr>
          </w:p>
          <w:p w:rsidR="00B1651B" w:rsidRDefault="00B1651B" w:rsidP="00B92D7A">
            <w:pPr>
              <w:rPr>
                <w:rFonts w:ascii="Arial" w:eastAsia="Times New Roman" w:hAnsi="Arial" w:cs="Arial"/>
                <w:sz w:val="16"/>
                <w:szCs w:val="16"/>
              </w:rPr>
            </w:pPr>
          </w:p>
          <w:p w:rsidR="003D32C7" w:rsidRDefault="003D32C7" w:rsidP="00B92D7A">
            <w:pPr>
              <w:rPr>
                <w:rFonts w:ascii="Arial" w:eastAsia="Times New Roman" w:hAnsi="Arial" w:cs="Arial"/>
                <w:sz w:val="16"/>
                <w:szCs w:val="16"/>
              </w:rPr>
            </w:pPr>
          </w:p>
          <w:p w:rsidR="007522E0" w:rsidRDefault="007522E0" w:rsidP="00B92D7A">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567040" cy="1175280"/>
                  <wp:effectExtent l="19050" t="19050" r="14110" b="24870"/>
                  <wp:docPr id="1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srcRect/>
                          <a:stretch>
                            <a:fillRect/>
                          </a:stretch>
                        </pic:blipFill>
                        <pic:spPr bwMode="auto">
                          <a:xfrm>
                            <a:off x="0" y="0"/>
                            <a:ext cx="1567766" cy="1175824"/>
                          </a:xfrm>
                          <a:prstGeom prst="rect">
                            <a:avLst/>
                          </a:prstGeom>
                          <a:noFill/>
                          <a:ln>
                            <a:solidFill>
                              <a:schemeClr val="accent1"/>
                            </a:solidFill>
                          </a:ln>
                        </pic:spPr>
                      </pic:pic>
                    </a:graphicData>
                  </a:graphic>
                </wp:inline>
              </w:drawing>
            </w:r>
          </w:p>
          <w:p w:rsidR="007522E0" w:rsidRDefault="007522E0" w:rsidP="00B92D7A">
            <w:pPr>
              <w:rPr>
                <w:rFonts w:ascii="Arial" w:eastAsia="Times New Roman" w:hAnsi="Arial" w:cs="Arial"/>
                <w:sz w:val="16"/>
                <w:szCs w:val="16"/>
              </w:rPr>
            </w:pPr>
          </w:p>
          <w:p w:rsidR="007522E0" w:rsidRDefault="007522E0" w:rsidP="00B92D7A">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567180" cy="1175385"/>
                  <wp:effectExtent l="19050" t="19050" r="13970" b="24765"/>
                  <wp:docPr id="2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srcRect/>
                          <a:stretch>
                            <a:fillRect/>
                          </a:stretch>
                        </pic:blipFill>
                        <pic:spPr bwMode="auto">
                          <a:xfrm>
                            <a:off x="0" y="0"/>
                            <a:ext cx="1563340" cy="1172505"/>
                          </a:xfrm>
                          <a:prstGeom prst="rect">
                            <a:avLst/>
                          </a:prstGeom>
                          <a:noFill/>
                          <a:ln>
                            <a:solidFill>
                              <a:schemeClr val="accent1"/>
                            </a:solidFill>
                          </a:ln>
                        </pic:spPr>
                      </pic:pic>
                    </a:graphicData>
                  </a:graphic>
                </wp:inline>
              </w:drawing>
            </w:r>
          </w:p>
          <w:p w:rsidR="003D32C7" w:rsidRDefault="003D32C7" w:rsidP="00B92D7A">
            <w:pPr>
              <w:rPr>
                <w:rFonts w:ascii="Arial" w:eastAsia="Times New Roman" w:hAnsi="Arial" w:cs="Arial"/>
                <w:sz w:val="16"/>
                <w:szCs w:val="16"/>
              </w:rPr>
            </w:pPr>
          </w:p>
          <w:p w:rsidR="007522E0" w:rsidRDefault="007522E0" w:rsidP="00B92D7A">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567180" cy="1175386"/>
                  <wp:effectExtent l="19050" t="19050" r="13970" b="24764"/>
                  <wp:docPr id="2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srcRect/>
                          <a:stretch>
                            <a:fillRect/>
                          </a:stretch>
                        </pic:blipFill>
                        <pic:spPr bwMode="auto">
                          <a:xfrm>
                            <a:off x="0" y="0"/>
                            <a:ext cx="1558516" cy="1168888"/>
                          </a:xfrm>
                          <a:prstGeom prst="rect">
                            <a:avLst/>
                          </a:prstGeom>
                          <a:noFill/>
                          <a:ln>
                            <a:solidFill>
                              <a:schemeClr val="accent1"/>
                            </a:solidFill>
                          </a:ln>
                        </pic:spPr>
                      </pic:pic>
                    </a:graphicData>
                  </a:graphic>
                </wp:inline>
              </w:drawing>
            </w:r>
          </w:p>
          <w:p w:rsidR="007522E0" w:rsidRDefault="007522E0" w:rsidP="00B92D7A">
            <w:pPr>
              <w:rPr>
                <w:rFonts w:ascii="Arial" w:eastAsia="Times New Roman" w:hAnsi="Arial" w:cs="Arial"/>
                <w:sz w:val="16"/>
                <w:szCs w:val="16"/>
              </w:rPr>
            </w:pPr>
          </w:p>
          <w:p w:rsidR="007522E0" w:rsidRDefault="007522E0" w:rsidP="00B92D7A">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567180" cy="1175384"/>
                  <wp:effectExtent l="19050" t="19050" r="13970" b="24766"/>
                  <wp:docPr id="2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srcRect/>
                          <a:stretch>
                            <a:fillRect/>
                          </a:stretch>
                        </pic:blipFill>
                        <pic:spPr bwMode="auto">
                          <a:xfrm>
                            <a:off x="0" y="0"/>
                            <a:ext cx="1566398" cy="1174798"/>
                          </a:xfrm>
                          <a:prstGeom prst="rect">
                            <a:avLst/>
                          </a:prstGeom>
                          <a:noFill/>
                          <a:ln>
                            <a:solidFill>
                              <a:schemeClr val="accent1"/>
                            </a:solidFill>
                          </a:ln>
                        </pic:spPr>
                      </pic:pic>
                    </a:graphicData>
                  </a:graphic>
                </wp:inline>
              </w:drawing>
            </w:r>
          </w:p>
          <w:p w:rsidR="007522E0" w:rsidRDefault="007522E0" w:rsidP="00B92D7A">
            <w:pPr>
              <w:rPr>
                <w:rFonts w:ascii="Arial" w:eastAsia="Times New Roman" w:hAnsi="Arial" w:cs="Arial"/>
                <w:sz w:val="16"/>
                <w:szCs w:val="16"/>
              </w:rPr>
            </w:pPr>
          </w:p>
          <w:p w:rsidR="007522E0" w:rsidRDefault="007522E0" w:rsidP="00B92D7A">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567180" cy="1175384"/>
                  <wp:effectExtent l="19050" t="19050" r="13970" b="24766"/>
                  <wp:docPr id="3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srcRect/>
                          <a:stretch>
                            <a:fillRect/>
                          </a:stretch>
                        </pic:blipFill>
                        <pic:spPr bwMode="auto">
                          <a:xfrm>
                            <a:off x="0" y="0"/>
                            <a:ext cx="1563226" cy="1172418"/>
                          </a:xfrm>
                          <a:prstGeom prst="rect">
                            <a:avLst/>
                          </a:prstGeom>
                          <a:noFill/>
                          <a:ln>
                            <a:solidFill>
                              <a:schemeClr val="accent1"/>
                            </a:solidFill>
                          </a:ln>
                        </pic:spPr>
                      </pic:pic>
                    </a:graphicData>
                  </a:graphic>
                </wp:inline>
              </w:drawing>
            </w:r>
          </w:p>
          <w:p w:rsidR="007522E0" w:rsidRDefault="007522E0" w:rsidP="00B92D7A">
            <w:pPr>
              <w:rPr>
                <w:rFonts w:ascii="Arial" w:eastAsia="Times New Roman" w:hAnsi="Arial" w:cs="Arial"/>
                <w:sz w:val="16"/>
                <w:szCs w:val="16"/>
              </w:rPr>
            </w:pPr>
          </w:p>
          <w:p w:rsidR="00FC05AC" w:rsidRDefault="00FC05AC" w:rsidP="00B92D7A">
            <w:pPr>
              <w:rPr>
                <w:rFonts w:ascii="Arial" w:eastAsia="Times New Roman" w:hAnsi="Arial" w:cs="Arial"/>
                <w:sz w:val="16"/>
                <w:szCs w:val="16"/>
              </w:rPr>
            </w:pPr>
          </w:p>
          <w:p w:rsidR="00FC05AC" w:rsidRDefault="00FC05AC" w:rsidP="00B92D7A">
            <w:pPr>
              <w:rPr>
                <w:rFonts w:ascii="Arial" w:eastAsia="Times New Roman" w:hAnsi="Arial" w:cs="Arial"/>
                <w:sz w:val="16"/>
                <w:szCs w:val="16"/>
              </w:rPr>
            </w:pPr>
          </w:p>
          <w:p w:rsidR="007522E0" w:rsidRDefault="007522E0" w:rsidP="00B92D7A">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567180" cy="1175384"/>
                  <wp:effectExtent l="19050" t="19050" r="13970" b="24766"/>
                  <wp:docPr id="3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cstate="print"/>
                          <a:srcRect/>
                          <a:stretch>
                            <a:fillRect/>
                          </a:stretch>
                        </pic:blipFill>
                        <pic:spPr bwMode="auto">
                          <a:xfrm>
                            <a:off x="0" y="0"/>
                            <a:ext cx="1563562" cy="1172671"/>
                          </a:xfrm>
                          <a:prstGeom prst="rect">
                            <a:avLst/>
                          </a:prstGeom>
                          <a:noFill/>
                          <a:ln>
                            <a:solidFill>
                              <a:schemeClr val="accent1"/>
                            </a:solidFill>
                          </a:ln>
                        </pic:spPr>
                      </pic:pic>
                    </a:graphicData>
                  </a:graphic>
                </wp:inline>
              </w:drawing>
            </w:r>
          </w:p>
          <w:p w:rsidR="007522E0" w:rsidRDefault="007522E0" w:rsidP="00B92D7A">
            <w:pPr>
              <w:rPr>
                <w:rFonts w:ascii="Arial" w:eastAsia="Times New Roman" w:hAnsi="Arial" w:cs="Arial"/>
                <w:sz w:val="16"/>
                <w:szCs w:val="16"/>
              </w:rPr>
            </w:pPr>
          </w:p>
          <w:p w:rsidR="007522E0" w:rsidRPr="0074495A" w:rsidRDefault="007522E0" w:rsidP="00B92D7A">
            <w:pPr>
              <w:rPr>
                <w:rFonts w:ascii="Arial" w:eastAsia="Times New Roman" w:hAnsi="Arial" w:cs="Arial"/>
                <w:sz w:val="16"/>
                <w:szCs w:val="16"/>
              </w:rPr>
            </w:pPr>
            <w:r>
              <w:rPr>
                <w:rFonts w:ascii="Arial" w:eastAsia="Times New Roman" w:hAnsi="Arial" w:cs="Arial"/>
                <w:noProof/>
                <w:sz w:val="16"/>
                <w:szCs w:val="16"/>
                <w:lang w:eastAsia="en-GB"/>
              </w:rPr>
              <w:drawing>
                <wp:inline distT="0" distB="0" distL="0" distR="0">
                  <wp:extent cx="1612477" cy="1209358"/>
                  <wp:effectExtent l="19050" t="19050" r="25823" b="9842"/>
                  <wp:docPr id="3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cstate="print"/>
                          <a:srcRect/>
                          <a:stretch>
                            <a:fillRect/>
                          </a:stretch>
                        </pic:blipFill>
                        <pic:spPr bwMode="auto">
                          <a:xfrm>
                            <a:off x="0" y="0"/>
                            <a:ext cx="1613016" cy="1209763"/>
                          </a:xfrm>
                          <a:prstGeom prst="rect">
                            <a:avLst/>
                          </a:prstGeom>
                          <a:noFill/>
                          <a:ln>
                            <a:solidFill>
                              <a:schemeClr val="accent1"/>
                            </a:solidFill>
                          </a:ln>
                        </pic:spPr>
                      </pic:pic>
                    </a:graphicData>
                  </a:graphic>
                </wp:inline>
              </w:drawing>
            </w:r>
          </w:p>
        </w:tc>
        <w:tc>
          <w:tcPr>
            <w:tcW w:w="7020" w:type="dxa"/>
            <w:shd w:val="clear" w:color="auto" w:fill="auto"/>
            <w:noWrap/>
          </w:tcPr>
          <w:p w:rsidR="009811B2" w:rsidRDefault="009811B2" w:rsidP="009811B2">
            <w:pPr>
              <w:tabs>
                <w:tab w:val="left" w:pos="360"/>
              </w:tabs>
              <w:spacing w:line="240" w:lineRule="auto"/>
              <w:rPr>
                <w:rFonts w:ascii="Arial" w:hAnsi="Arial"/>
                <w:sz w:val="20"/>
              </w:rPr>
            </w:pPr>
            <w:r>
              <w:rPr>
                <w:rFonts w:ascii="Arial" w:hAnsi="Arial"/>
                <w:sz w:val="20"/>
              </w:rPr>
              <w:lastRenderedPageBreak/>
              <w:t>1.  Ask participants if they have used the INEE Minimum Standards in anyway and/or are familiar with the INEE Minimum Standards Handbook.</w:t>
            </w:r>
          </w:p>
          <w:p w:rsidR="009811B2" w:rsidRDefault="009811B2" w:rsidP="009811B2">
            <w:pPr>
              <w:tabs>
                <w:tab w:val="left" w:pos="360"/>
              </w:tabs>
              <w:spacing w:line="240" w:lineRule="auto"/>
              <w:rPr>
                <w:rFonts w:ascii="Arial" w:hAnsi="Arial"/>
                <w:sz w:val="20"/>
              </w:rPr>
            </w:pPr>
          </w:p>
          <w:p w:rsidR="009811B2" w:rsidRDefault="009811B2" w:rsidP="009811B2">
            <w:pPr>
              <w:tabs>
                <w:tab w:val="left" w:pos="360"/>
              </w:tabs>
              <w:spacing w:line="240" w:lineRule="auto"/>
              <w:rPr>
                <w:rFonts w:ascii="Arial" w:hAnsi="Arial"/>
                <w:sz w:val="20"/>
              </w:rPr>
            </w:pPr>
            <w:r>
              <w:rPr>
                <w:rFonts w:ascii="Arial" w:hAnsi="Arial"/>
                <w:sz w:val="20"/>
              </w:rPr>
              <w:t>2.  Explain the following points about the development of the INEE Minimum Standards:</w:t>
            </w:r>
          </w:p>
          <w:p w:rsidR="009811B2" w:rsidRDefault="009811B2" w:rsidP="009C624E">
            <w:pPr>
              <w:numPr>
                <w:ilvl w:val="0"/>
                <w:numId w:val="9"/>
              </w:numPr>
              <w:tabs>
                <w:tab w:val="clear" w:pos="360"/>
                <w:tab w:val="num" w:pos="406"/>
              </w:tabs>
              <w:spacing w:line="240" w:lineRule="auto"/>
              <w:ind w:left="406" w:hanging="360"/>
              <w:rPr>
                <w:rFonts w:ascii="Arial" w:hAnsi="Arial"/>
                <w:sz w:val="20"/>
              </w:rPr>
            </w:pPr>
            <w:r>
              <w:rPr>
                <w:rFonts w:ascii="Arial" w:hAnsi="Arial"/>
                <w:sz w:val="20"/>
              </w:rPr>
              <w:t>The Inter-Agency Network for Education in Emergencies (INEE) was established to develop standards to promote a minimum level of access to quality education for all persons, including those affected by emergencies.</w:t>
            </w:r>
          </w:p>
          <w:p w:rsidR="009811B2" w:rsidRDefault="009811B2" w:rsidP="009C624E">
            <w:pPr>
              <w:numPr>
                <w:ilvl w:val="0"/>
                <w:numId w:val="9"/>
              </w:numPr>
              <w:tabs>
                <w:tab w:val="clear" w:pos="360"/>
                <w:tab w:val="num" w:pos="406"/>
              </w:tabs>
              <w:spacing w:line="240" w:lineRule="auto"/>
              <w:ind w:left="406" w:hanging="360"/>
              <w:rPr>
                <w:rFonts w:ascii="Arial" w:hAnsi="Arial"/>
                <w:sz w:val="20"/>
              </w:rPr>
            </w:pPr>
            <w:r>
              <w:rPr>
                <w:rFonts w:ascii="Arial" w:hAnsi="Arial"/>
                <w:sz w:val="20"/>
              </w:rPr>
              <w:t>The standards are based on the Convention on the Rights of the Child, Education for All (EFA) and the Sphere Project’s Humanitarian Charter and Minimum Standards for Disaster Response. They represent ‘universal goals for helping adults and children achieve the right to life with dignity’.  They include that education is a basic right for all.</w:t>
            </w:r>
          </w:p>
          <w:p w:rsidR="009811B2" w:rsidRDefault="009811B2" w:rsidP="009C624E">
            <w:pPr>
              <w:numPr>
                <w:ilvl w:val="0"/>
                <w:numId w:val="9"/>
              </w:numPr>
              <w:tabs>
                <w:tab w:val="clear" w:pos="360"/>
                <w:tab w:val="num" w:pos="406"/>
              </w:tabs>
              <w:spacing w:line="240" w:lineRule="auto"/>
              <w:ind w:left="406" w:hanging="360"/>
              <w:rPr>
                <w:rFonts w:ascii="Arial" w:hAnsi="Arial"/>
                <w:sz w:val="20"/>
              </w:rPr>
            </w:pPr>
            <w:r>
              <w:rPr>
                <w:rFonts w:ascii="Arial" w:hAnsi="Arial"/>
                <w:sz w:val="20"/>
              </w:rPr>
              <w:t>The standards are an essential addition to the Sphere Standards, which outline the ‘minimum standards in disaster relief’.  The Sphere Standards cover the sectors of water; sanitation and hygiene; food security, nutrition and food aid; shelter, settlement and non-food items; and health services. They do not include education.</w:t>
            </w:r>
          </w:p>
          <w:p w:rsidR="009811B2" w:rsidRDefault="009811B2" w:rsidP="009C624E">
            <w:pPr>
              <w:numPr>
                <w:ilvl w:val="0"/>
                <w:numId w:val="9"/>
              </w:numPr>
              <w:tabs>
                <w:tab w:val="clear" w:pos="360"/>
                <w:tab w:val="num" w:pos="406"/>
              </w:tabs>
              <w:spacing w:line="240" w:lineRule="auto"/>
              <w:ind w:left="406" w:hanging="360"/>
              <w:rPr>
                <w:rFonts w:ascii="Arial" w:hAnsi="Arial"/>
                <w:sz w:val="20"/>
              </w:rPr>
            </w:pPr>
            <w:r>
              <w:rPr>
                <w:rFonts w:ascii="Arial" w:hAnsi="Arial"/>
                <w:sz w:val="20"/>
              </w:rPr>
              <w:t xml:space="preserve">Participants should refer to the INEE Minimum Standards Handbook, which can be found on the INEE website at </w:t>
            </w:r>
            <w:hyperlink r:id="rId21" w:history="1">
              <w:r w:rsidRPr="000330F4">
                <w:rPr>
                  <w:rStyle w:val="Hyperlink1"/>
                  <w:rFonts w:ascii="Arial" w:hAnsi="Arial"/>
                </w:rPr>
                <w:t>www.ineesite.org</w:t>
              </w:r>
            </w:hyperlink>
            <w:r w:rsidRPr="000330F4">
              <w:rPr>
                <w:rFonts w:ascii="Arial" w:hAnsi="Arial"/>
                <w:sz w:val="20"/>
              </w:rPr>
              <w:t>/minimumstandards</w:t>
            </w:r>
          </w:p>
          <w:p w:rsidR="009811B2" w:rsidRDefault="009811B2" w:rsidP="009811B2">
            <w:pPr>
              <w:ind w:left="360"/>
              <w:rPr>
                <w:rFonts w:ascii="Arial" w:hAnsi="Arial"/>
                <w:sz w:val="20"/>
              </w:rPr>
            </w:pPr>
          </w:p>
          <w:p w:rsidR="009811B2" w:rsidRPr="007522E0" w:rsidRDefault="009811B2" w:rsidP="009C624E">
            <w:pPr>
              <w:numPr>
                <w:ilvl w:val="0"/>
                <w:numId w:val="10"/>
              </w:numPr>
              <w:tabs>
                <w:tab w:val="left" w:pos="360"/>
              </w:tabs>
              <w:spacing w:line="240" w:lineRule="auto"/>
              <w:ind w:hanging="240"/>
              <w:rPr>
                <w:rFonts w:ascii="Arial" w:hAnsi="Arial"/>
                <w:sz w:val="20"/>
              </w:rPr>
            </w:pPr>
            <w:r w:rsidRPr="007522E0">
              <w:rPr>
                <w:rFonts w:ascii="Arial" w:hAnsi="Arial"/>
                <w:sz w:val="20"/>
              </w:rPr>
              <w:t xml:space="preserve"> Provide to all participants</w:t>
            </w:r>
          </w:p>
          <w:p w:rsidR="009811B2" w:rsidRPr="007522E0" w:rsidRDefault="009811B2" w:rsidP="00B82133">
            <w:pPr>
              <w:pStyle w:val="ListParagraph"/>
              <w:numPr>
                <w:ilvl w:val="0"/>
                <w:numId w:val="20"/>
              </w:numPr>
              <w:tabs>
                <w:tab w:val="left" w:pos="360"/>
              </w:tabs>
              <w:spacing w:before="40" w:line="240" w:lineRule="auto"/>
              <w:ind w:left="714" w:hanging="357"/>
              <w:rPr>
                <w:rFonts w:ascii="Arial" w:hAnsi="Arial" w:cs="Arial"/>
                <w:sz w:val="20"/>
              </w:rPr>
            </w:pPr>
            <w:r w:rsidRPr="007522E0">
              <w:rPr>
                <w:rFonts w:ascii="Arial" w:hAnsi="Arial" w:cs="Arial"/>
                <w:sz w:val="20"/>
              </w:rPr>
              <w:t xml:space="preserve">INEE Handbook - Minimum Standards for Education </w:t>
            </w:r>
          </w:p>
          <w:p w:rsidR="009811B2" w:rsidRPr="007522E0" w:rsidRDefault="009811B2" w:rsidP="00B82133">
            <w:pPr>
              <w:pStyle w:val="ListParagraph"/>
              <w:numPr>
                <w:ilvl w:val="0"/>
                <w:numId w:val="20"/>
              </w:numPr>
              <w:tabs>
                <w:tab w:val="left" w:pos="360"/>
              </w:tabs>
              <w:spacing w:before="40" w:line="240" w:lineRule="auto"/>
              <w:ind w:left="714" w:hanging="357"/>
              <w:rPr>
                <w:rFonts w:ascii="Arial" w:hAnsi="Arial" w:cs="Arial"/>
                <w:sz w:val="20"/>
                <w:lang w:val="en-US"/>
              </w:rPr>
            </w:pPr>
            <w:r w:rsidRPr="007522E0">
              <w:rPr>
                <w:rFonts w:ascii="Arial" w:hAnsi="Arial" w:cs="Arial"/>
                <w:sz w:val="20"/>
              </w:rPr>
              <w:t xml:space="preserve">Handout </w:t>
            </w:r>
            <w:r w:rsidRPr="007522E0">
              <w:rPr>
                <w:rFonts w:ascii="Arial" w:hAnsi="Arial" w:cs="Arial"/>
                <w:sz w:val="20"/>
                <w:lang w:val="en-US"/>
              </w:rPr>
              <w:t>3.1:  Minimum Standards for Education Summary</w:t>
            </w:r>
          </w:p>
          <w:p w:rsidR="009811B2" w:rsidRDefault="009811B2" w:rsidP="009811B2">
            <w:pPr>
              <w:tabs>
                <w:tab w:val="left" w:pos="680"/>
              </w:tabs>
              <w:spacing w:line="240" w:lineRule="auto"/>
              <w:ind w:left="600" w:hanging="600"/>
              <w:rPr>
                <w:sz w:val="20"/>
              </w:rPr>
            </w:pPr>
          </w:p>
          <w:p w:rsidR="009811B2" w:rsidRDefault="009811B2" w:rsidP="009C624E">
            <w:pPr>
              <w:numPr>
                <w:ilvl w:val="0"/>
                <w:numId w:val="11"/>
              </w:numPr>
              <w:tabs>
                <w:tab w:val="left" w:pos="360"/>
              </w:tabs>
              <w:spacing w:line="240" w:lineRule="auto"/>
              <w:ind w:hanging="240"/>
              <w:rPr>
                <w:rFonts w:ascii="Arial" w:hAnsi="Arial"/>
                <w:sz w:val="20"/>
              </w:rPr>
            </w:pPr>
            <w:r>
              <w:rPr>
                <w:rFonts w:ascii="Arial" w:hAnsi="Arial"/>
                <w:sz w:val="20"/>
              </w:rPr>
              <w:t xml:space="preserve"> Review the </w:t>
            </w:r>
            <w:r w:rsidRPr="00B1651B">
              <w:rPr>
                <w:rFonts w:ascii="Arial" w:hAnsi="Arial"/>
                <w:b/>
                <w:sz w:val="20"/>
              </w:rPr>
              <w:t>5 Domains</w:t>
            </w:r>
            <w:r>
              <w:rPr>
                <w:rFonts w:ascii="Arial" w:hAnsi="Arial"/>
                <w:sz w:val="20"/>
              </w:rPr>
              <w:t xml:space="preserve"> of the </w:t>
            </w:r>
            <w:r w:rsidRPr="00B1651B">
              <w:rPr>
                <w:rFonts w:ascii="Arial" w:hAnsi="Arial"/>
                <w:b/>
                <w:sz w:val="20"/>
              </w:rPr>
              <w:t>INEE Minimum Standards</w:t>
            </w:r>
            <w:r>
              <w:rPr>
                <w:rFonts w:ascii="Arial" w:hAnsi="Arial"/>
                <w:sz w:val="20"/>
              </w:rPr>
              <w:t xml:space="preserve"> </w:t>
            </w:r>
          </w:p>
          <w:p w:rsidR="009811B2" w:rsidRPr="007522E0" w:rsidRDefault="009811B2" w:rsidP="009811B2">
            <w:pPr>
              <w:tabs>
                <w:tab w:val="left" w:pos="360"/>
              </w:tabs>
              <w:spacing w:line="240" w:lineRule="auto"/>
              <w:rPr>
                <w:rFonts w:ascii="Arial" w:hAnsi="Arial"/>
                <w:sz w:val="20"/>
                <w:u w:val="single"/>
              </w:rPr>
            </w:pPr>
          </w:p>
          <w:p w:rsidR="00B1651B" w:rsidRPr="00B1651B" w:rsidRDefault="009811B2" w:rsidP="009C624E">
            <w:pPr>
              <w:numPr>
                <w:ilvl w:val="0"/>
                <w:numId w:val="12"/>
              </w:numPr>
              <w:tabs>
                <w:tab w:val="left" w:pos="360"/>
              </w:tabs>
              <w:spacing w:line="240" w:lineRule="auto"/>
              <w:ind w:hanging="240"/>
              <w:rPr>
                <w:rStyle w:val="Underline"/>
                <w:u w:val="none"/>
              </w:rPr>
            </w:pPr>
            <w:r w:rsidRPr="00B1651B">
              <w:rPr>
                <w:rStyle w:val="Underline"/>
                <w:rFonts w:ascii="Arial" w:hAnsi="Arial"/>
                <w:b/>
                <w:sz w:val="20"/>
                <w:u w:val="none"/>
              </w:rPr>
              <w:t>11 Cross-cutting issues</w:t>
            </w:r>
            <w:r w:rsidRPr="00B1651B">
              <w:rPr>
                <w:rStyle w:val="Underline"/>
                <w:rFonts w:ascii="Arial" w:hAnsi="Arial"/>
                <w:sz w:val="20"/>
                <w:u w:val="none"/>
              </w:rPr>
              <w:t xml:space="preserve">: </w:t>
            </w:r>
          </w:p>
          <w:p w:rsidR="009811B2" w:rsidRPr="00B1651B" w:rsidRDefault="009811B2" w:rsidP="00B1651B">
            <w:pPr>
              <w:tabs>
                <w:tab w:val="left" w:pos="360"/>
              </w:tabs>
              <w:spacing w:line="240" w:lineRule="auto"/>
              <w:ind w:left="240"/>
              <w:rPr>
                <w:rStyle w:val="Underline"/>
                <w:u w:val="none"/>
              </w:rPr>
            </w:pPr>
            <w:r w:rsidRPr="00B1651B">
              <w:rPr>
                <w:rStyle w:val="Underline"/>
                <w:rFonts w:ascii="Arial" w:hAnsi="Arial"/>
                <w:sz w:val="20"/>
                <w:u w:val="none"/>
              </w:rPr>
              <w:t>1) Conflict Mitigation, 2) Disaster Risk Reduction, 3) Early Childhood Development, 4) Gender, 5) HIV and AIDS, 6) Human Rights, 7) Inclusive Education, 8) Inter-</w:t>
            </w:r>
            <w:proofErr w:type="spellStart"/>
            <w:r w:rsidRPr="00B1651B">
              <w:rPr>
                <w:rStyle w:val="Underline"/>
                <w:rFonts w:ascii="Arial" w:hAnsi="Arial"/>
                <w:sz w:val="20"/>
                <w:u w:val="none"/>
              </w:rPr>
              <w:t>sectoral</w:t>
            </w:r>
            <w:proofErr w:type="spellEnd"/>
            <w:r w:rsidRPr="00B1651B">
              <w:rPr>
                <w:rStyle w:val="Underline"/>
                <w:rFonts w:ascii="Arial" w:hAnsi="Arial"/>
                <w:sz w:val="20"/>
                <w:u w:val="none"/>
              </w:rPr>
              <w:t xml:space="preserve"> linkages, 9) Protection, 10) Psychosocial support, 11) Youth. </w:t>
            </w:r>
          </w:p>
          <w:p w:rsidR="009811B2" w:rsidRPr="00FC05AC" w:rsidRDefault="009811B2" w:rsidP="009811B2">
            <w:pPr>
              <w:tabs>
                <w:tab w:val="left" w:pos="360"/>
              </w:tabs>
              <w:spacing w:line="240" w:lineRule="auto"/>
              <w:rPr>
                <w:rFonts w:ascii="Arial" w:hAnsi="Arial"/>
                <w:sz w:val="20"/>
                <w:szCs w:val="22"/>
              </w:rPr>
            </w:pPr>
          </w:p>
          <w:p w:rsidR="00FC05AC" w:rsidRPr="00FC05AC" w:rsidRDefault="00FC05AC" w:rsidP="00FC05AC">
            <w:pPr>
              <w:tabs>
                <w:tab w:val="left" w:pos="360"/>
              </w:tabs>
              <w:spacing w:line="240" w:lineRule="auto"/>
              <w:ind w:left="240"/>
              <w:rPr>
                <w:rFonts w:ascii="Arial" w:hAnsi="Arial"/>
                <w:sz w:val="20"/>
                <w:szCs w:val="22"/>
              </w:rPr>
            </w:pPr>
            <w:r w:rsidRPr="00FC05AC">
              <w:rPr>
                <w:rFonts w:ascii="Arial" w:hAnsi="Arial"/>
                <w:sz w:val="20"/>
                <w:szCs w:val="22"/>
              </w:rPr>
              <w:t>Refer the participants to the thematic briefs found on their CD which provide an exploration of a number of these cross cutting issues</w:t>
            </w:r>
          </w:p>
          <w:p w:rsidR="00FC05AC" w:rsidRDefault="00FC05AC" w:rsidP="009811B2">
            <w:pPr>
              <w:tabs>
                <w:tab w:val="left" w:pos="360"/>
              </w:tabs>
              <w:spacing w:line="240" w:lineRule="auto"/>
              <w:rPr>
                <w:rStyle w:val="Underline"/>
              </w:rPr>
            </w:pPr>
          </w:p>
          <w:p w:rsidR="00B1651B" w:rsidRDefault="00B1651B" w:rsidP="009811B2">
            <w:pPr>
              <w:tabs>
                <w:tab w:val="left" w:pos="360"/>
              </w:tabs>
              <w:spacing w:line="240" w:lineRule="auto"/>
              <w:rPr>
                <w:rStyle w:val="Underline"/>
              </w:rPr>
            </w:pPr>
            <w:r w:rsidRPr="001937BA">
              <w:rPr>
                <w:rFonts w:ascii="Arial" w:eastAsia="Times New Roman" w:hAnsi="Arial" w:cs="Arial"/>
                <w:b/>
                <w:i/>
                <w:color w:val="000000"/>
                <w:sz w:val="20"/>
              </w:rPr>
              <w:t xml:space="preserve">Note to facilitator: </w:t>
            </w:r>
            <w:r w:rsidRPr="00B1651B">
              <w:rPr>
                <w:rFonts w:ascii="Arial" w:eastAsia="Times New Roman" w:hAnsi="Arial" w:cs="Arial"/>
                <w:i/>
                <w:color w:val="000000"/>
                <w:sz w:val="20"/>
              </w:rPr>
              <w:t xml:space="preserve">More information on the cross-cutting issues can be found </w:t>
            </w:r>
            <w:r w:rsidR="00FC05AC">
              <w:rPr>
                <w:rFonts w:ascii="Arial" w:eastAsia="Times New Roman" w:hAnsi="Arial" w:cs="Arial"/>
                <w:i/>
                <w:color w:val="000000"/>
                <w:sz w:val="20"/>
              </w:rPr>
              <w:t>in</w:t>
            </w:r>
            <w:r w:rsidRPr="00B1651B">
              <w:rPr>
                <w:rFonts w:ascii="Arial" w:eastAsia="Times New Roman" w:hAnsi="Arial" w:cs="Arial"/>
                <w:i/>
                <w:color w:val="000000"/>
                <w:sz w:val="20"/>
              </w:rPr>
              <w:t xml:space="preserve"> the</w:t>
            </w:r>
            <w:r w:rsidR="00FC05AC">
              <w:rPr>
                <w:rFonts w:ascii="Arial" w:eastAsia="Times New Roman" w:hAnsi="Arial" w:cs="Arial"/>
                <w:i/>
                <w:color w:val="000000"/>
                <w:sz w:val="20"/>
              </w:rPr>
              <w:t>se</w:t>
            </w:r>
            <w:r w:rsidRPr="00B1651B">
              <w:rPr>
                <w:rFonts w:ascii="Arial" w:eastAsia="Times New Roman" w:hAnsi="Arial" w:cs="Arial"/>
                <w:i/>
                <w:color w:val="000000"/>
                <w:sz w:val="20"/>
              </w:rPr>
              <w:t xml:space="preserve"> thematic briefs.</w:t>
            </w:r>
            <w:r w:rsidRPr="001937BA">
              <w:rPr>
                <w:rFonts w:ascii="Arial" w:eastAsia="Times New Roman" w:hAnsi="Arial" w:cs="Arial"/>
                <w:i/>
                <w:color w:val="000000"/>
                <w:sz w:val="20"/>
              </w:rPr>
              <w:t xml:space="preserve"> </w:t>
            </w:r>
          </w:p>
          <w:p w:rsidR="009811B2" w:rsidRDefault="009811B2" w:rsidP="009811B2">
            <w:pPr>
              <w:tabs>
                <w:tab w:val="left" w:pos="360"/>
              </w:tabs>
              <w:spacing w:line="240" w:lineRule="auto"/>
              <w:rPr>
                <w:rFonts w:ascii="Arial" w:hAnsi="Arial"/>
                <w:sz w:val="20"/>
              </w:rPr>
            </w:pPr>
          </w:p>
          <w:p w:rsidR="009811B2" w:rsidRDefault="009811B2" w:rsidP="009C624E">
            <w:pPr>
              <w:numPr>
                <w:ilvl w:val="0"/>
                <w:numId w:val="12"/>
              </w:numPr>
              <w:tabs>
                <w:tab w:val="left" w:pos="360"/>
              </w:tabs>
              <w:spacing w:line="240" w:lineRule="auto"/>
              <w:ind w:hanging="240"/>
              <w:rPr>
                <w:rFonts w:ascii="Arial" w:hAnsi="Arial"/>
                <w:sz w:val="20"/>
              </w:rPr>
            </w:pPr>
            <w:r>
              <w:rPr>
                <w:rFonts w:ascii="Arial" w:hAnsi="Arial"/>
                <w:sz w:val="20"/>
              </w:rPr>
              <w:t xml:space="preserve">Have the participants open their Handbook and look at the structure with </w:t>
            </w:r>
            <w:r w:rsidRPr="001C7429">
              <w:rPr>
                <w:rFonts w:ascii="Arial" w:hAnsi="Arial"/>
                <w:b/>
                <w:sz w:val="20"/>
              </w:rPr>
              <w:t>Standards, Key Actions</w:t>
            </w:r>
            <w:r>
              <w:rPr>
                <w:rFonts w:ascii="Arial" w:hAnsi="Arial"/>
                <w:sz w:val="20"/>
              </w:rPr>
              <w:t xml:space="preserve"> and </w:t>
            </w:r>
            <w:r w:rsidRPr="001C7429">
              <w:rPr>
                <w:rFonts w:ascii="Arial" w:hAnsi="Arial"/>
                <w:b/>
                <w:sz w:val="20"/>
              </w:rPr>
              <w:t>Guidance Notes</w:t>
            </w:r>
            <w:r>
              <w:rPr>
                <w:rFonts w:ascii="Arial" w:hAnsi="Arial"/>
                <w:sz w:val="20"/>
              </w:rPr>
              <w:t>.</w:t>
            </w:r>
          </w:p>
          <w:p w:rsidR="009811B2" w:rsidRPr="00316E7C" w:rsidRDefault="009811B2" w:rsidP="00B1651B">
            <w:pPr>
              <w:spacing w:before="120"/>
              <w:rPr>
                <w:rFonts w:ascii="Arial" w:hAnsi="Arial"/>
                <w:sz w:val="20"/>
                <w:szCs w:val="22"/>
              </w:rPr>
            </w:pPr>
            <w:r w:rsidRPr="00316E7C">
              <w:rPr>
                <w:rFonts w:ascii="Arial" w:hAnsi="Arial"/>
                <w:sz w:val="20"/>
                <w:szCs w:val="22"/>
              </w:rPr>
              <w:t xml:space="preserve">The </w:t>
            </w:r>
            <w:r w:rsidRPr="001C7429">
              <w:rPr>
                <w:rFonts w:ascii="Arial" w:hAnsi="Arial"/>
                <w:b/>
                <w:sz w:val="20"/>
                <w:szCs w:val="22"/>
              </w:rPr>
              <w:t>standards</w:t>
            </w:r>
            <w:r w:rsidRPr="00316E7C">
              <w:rPr>
                <w:rFonts w:ascii="Arial" w:hAnsi="Arial"/>
                <w:sz w:val="20"/>
                <w:szCs w:val="22"/>
              </w:rPr>
              <w:t xml:space="preserve"> are </w:t>
            </w:r>
            <w:r w:rsidRPr="0085497B">
              <w:rPr>
                <w:rFonts w:ascii="Arial" w:hAnsi="Arial"/>
                <w:i/>
                <w:sz w:val="20"/>
                <w:szCs w:val="22"/>
              </w:rPr>
              <w:t>“what you want to reach”.</w:t>
            </w:r>
            <w:r>
              <w:rPr>
                <w:rFonts w:ascii="Arial" w:hAnsi="Arial"/>
                <w:sz w:val="20"/>
                <w:szCs w:val="22"/>
              </w:rPr>
              <w:t xml:space="preserve">  They are </w:t>
            </w:r>
            <w:r w:rsidRPr="00316E7C">
              <w:rPr>
                <w:rFonts w:ascii="Arial" w:hAnsi="Arial"/>
                <w:sz w:val="20"/>
                <w:szCs w:val="22"/>
              </w:rPr>
              <w:t>derived from the principle that populations affected by disaster or conflict have the right to life with dignity and to safe, quality and relevant education. Hence, they are qualitative in nature and are meant to be universal and applicable in any context.</w:t>
            </w:r>
          </w:p>
          <w:p w:rsidR="009811B2" w:rsidRPr="00316E7C" w:rsidRDefault="009811B2" w:rsidP="00B1651B">
            <w:pPr>
              <w:spacing w:before="120"/>
              <w:rPr>
                <w:rFonts w:ascii="Arial" w:hAnsi="Arial"/>
                <w:sz w:val="20"/>
                <w:szCs w:val="22"/>
              </w:rPr>
            </w:pPr>
            <w:r w:rsidRPr="00316E7C">
              <w:rPr>
                <w:rFonts w:ascii="Arial" w:hAnsi="Arial"/>
                <w:sz w:val="20"/>
                <w:szCs w:val="22"/>
              </w:rPr>
              <w:t xml:space="preserve">Standards are followed by a series of </w:t>
            </w:r>
            <w:r w:rsidRPr="00AA2B46">
              <w:rPr>
                <w:rFonts w:ascii="Arial" w:hAnsi="Arial"/>
                <w:b/>
                <w:sz w:val="20"/>
                <w:szCs w:val="22"/>
              </w:rPr>
              <w:t>key actions</w:t>
            </w:r>
            <w:r w:rsidRPr="00316E7C">
              <w:rPr>
                <w:rFonts w:ascii="Arial" w:hAnsi="Arial"/>
                <w:sz w:val="20"/>
                <w:szCs w:val="22"/>
              </w:rPr>
              <w:t xml:space="preserve">, which are suggested ways to achieve the standard. Some actions may not be applicable in all contexts; they should be adapted to the specific context. The practitioner can </w:t>
            </w:r>
            <w:r w:rsidRPr="00316E7C">
              <w:rPr>
                <w:rFonts w:ascii="Arial" w:hAnsi="Arial"/>
                <w:sz w:val="20"/>
                <w:szCs w:val="22"/>
              </w:rPr>
              <w:lastRenderedPageBreak/>
              <w:t>devise alternative actions so that the standard can be met.</w:t>
            </w:r>
          </w:p>
          <w:p w:rsidR="009811B2" w:rsidRDefault="009811B2" w:rsidP="009811B2">
            <w:pPr>
              <w:rPr>
                <w:rFonts w:ascii="Arial" w:hAnsi="Arial"/>
                <w:sz w:val="20"/>
                <w:szCs w:val="22"/>
              </w:rPr>
            </w:pPr>
            <w:r w:rsidRPr="00316E7C">
              <w:rPr>
                <w:rFonts w:ascii="Arial" w:hAnsi="Arial"/>
                <w:sz w:val="20"/>
                <w:szCs w:val="22"/>
              </w:rPr>
              <w:t xml:space="preserve"> Finally, </w:t>
            </w:r>
            <w:r w:rsidRPr="00900EEF">
              <w:rPr>
                <w:rFonts w:ascii="Arial" w:hAnsi="Arial"/>
                <w:b/>
                <w:sz w:val="20"/>
                <w:szCs w:val="22"/>
              </w:rPr>
              <w:t>guidance notes</w:t>
            </w:r>
            <w:r w:rsidRPr="00316E7C">
              <w:rPr>
                <w:rFonts w:ascii="Arial" w:hAnsi="Arial"/>
                <w:sz w:val="20"/>
                <w:szCs w:val="22"/>
              </w:rPr>
              <w:t xml:space="preserve"> cover specific points of good practice to consider when applying the minimum standards and adapting the key actions in different situations. They offer advice on priority issues and on tackling practical difficulties, while also providing background information and definitions.</w:t>
            </w:r>
          </w:p>
          <w:p w:rsidR="009811B2" w:rsidRPr="00316E7C" w:rsidRDefault="009811B2" w:rsidP="00B1651B">
            <w:pPr>
              <w:spacing w:before="120"/>
              <w:rPr>
                <w:rFonts w:ascii="Arial" w:hAnsi="Arial"/>
                <w:sz w:val="20"/>
                <w:szCs w:val="22"/>
              </w:rPr>
            </w:pPr>
            <w:r>
              <w:rPr>
                <w:rFonts w:ascii="Arial" w:hAnsi="Arial"/>
                <w:sz w:val="20"/>
                <w:szCs w:val="22"/>
              </w:rPr>
              <w:t xml:space="preserve">Provide an example by having the participants open their handbooks, turn to </w:t>
            </w:r>
            <w:r w:rsidRPr="003D32C7">
              <w:rPr>
                <w:rFonts w:ascii="Arial" w:hAnsi="Arial"/>
                <w:b/>
                <w:sz w:val="20"/>
                <w:szCs w:val="22"/>
              </w:rPr>
              <w:t>page 22</w:t>
            </w:r>
            <w:r>
              <w:rPr>
                <w:rFonts w:ascii="Arial" w:hAnsi="Arial"/>
                <w:sz w:val="20"/>
                <w:szCs w:val="22"/>
              </w:rPr>
              <w:t>.  Review the standard, one corresponding key action and the guidance notes that are connected to that key action.</w:t>
            </w:r>
          </w:p>
          <w:p w:rsidR="009811B2" w:rsidRDefault="009811B2" w:rsidP="003D32C7">
            <w:pPr>
              <w:pStyle w:val="FreeForm"/>
              <w:keepLines/>
              <w:tabs>
                <w:tab w:val="left" w:pos="-31680"/>
                <w:tab w:val="left" w:pos="-30976"/>
                <w:tab w:val="left" w:pos="-29536"/>
                <w:tab w:val="left" w:pos="-28096"/>
                <w:tab w:val="left" w:pos="-26656"/>
                <w:tab w:val="left" w:pos="-25216"/>
                <w:tab w:val="left" w:pos="-23776"/>
                <w:tab w:val="left" w:pos="-22336"/>
                <w:tab w:val="left" w:pos="-20896"/>
                <w:tab w:val="left" w:pos="-19456"/>
                <w:tab w:val="left" w:pos="-18016"/>
                <w:tab w:val="left" w:pos="-16576"/>
                <w:tab w:val="left" w:pos="-15136"/>
                <w:tab w:val="left" w:pos="-13696"/>
                <w:tab w:val="left" w:pos="-12256"/>
                <w:tab w:val="left" w:pos="-10816"/>
                <w:tab w:val="left" w:pos="-9376"/>
                <w:tab w:val="left" w:pos="-7936"/>
                <w:tab w:val="left" w:pos="-6496"/>
                <w:tab w:val="left" w:pos="-5056"/>
                <w:tab w:val="left" w:pos="-3616"/>
                <w:tab w:val="left" w:pos="-2176"/>
                <w:tab w:val="left" w:pos="-736"/>
              </w:tabs>
              <w:spacing w:after="0" w:line="240" w:lineRule="auto"/>
              <w:ind w:right="57"/>
            </w:pPr>
          </w:p>
          <w:p w:rsidR="009811B2" w:rsidRPr="001C7A2E" w:rsidRDefault="009811B2" w:rsidP="009811B2">
            <w:pPr>
              <w:tabs>
                <w:tab w:val="left" w:pos="720"/>
              </w:tabs>
              <w:spacing w:line="240" w:lineRule="auto"/>
              <w:jc w:val="both"/>
              <w:rPr>
                <w:rFonts w:ascii="Arial" w:hAnsi="Arial"/>
                <w:sz w:val="20"/>
              </w:rPr>
            </w:pPr>
            <w:r w:rsidRPr="001C7A2E">
              <w:rPr>
                <w:rFonts w:ascii="Arial" w:hAnsi="Arial"/>
                <w:sz w:val="20"/>
              </w:rPr>
              <w:t xml:space="preserve">7.  Now review the </w:t>
            </w:r>
            <w:r w:rsidRPr="003D32C7">
              <w:rPr>
                <w:rFonts w:ascii="Arial" w:hAnsi="Arial"/>
                <w:b/>
                <w:sz w:val="20"/>
              </w:rPr>
              <w:t>domains</w:t>
            </w:r>
            <w:r w:rsidRPr="001C7A2E">
              <w:rPr>
                <w:rFonts w:ascii="Arial" w:hAnsi="Arial"/>
                <w:sz w:val="20"/>
              </w:rPr>
              <w:t xml:space="preserve"> and their </w:t>
            </w:r>
            <w:r w:rsidRPr="003D32C7">
              <w:rPr>
                <w:rFonts w:ascii="Arial" w:hAnsi="Arial"/>
                <w:b/>
                <w:sz w:val="20"/>
              </w:rPr>
              <w:t>standards</w:t>
            </w:r>
            <w:r w:rsidRPr="001C7A2E">
              <w:rPr>
                <w:rFonts w:ascii="Arial" w:hAnsi="Arial"/>
                <w:sz w:val="20"/>
              </w:rPr>
              <w:t>.</w:t>
            </w:r>
            <w:r>
              <w:rPr>
                <w:rFonts w:ascii="Arial" w:hAnsi="Arial"/>
                <w:sz w:val="20"/>
              </w:rPr>
              <w:t xml:space="preserve"> </w:t>
            </w:r>
          </w:p>
          <w:p w:rsidR="009811B2" w:rsidRDefault="009811B2" w:rsidP="009811B2">
            <w:pPr>
              <w:tabs>
                <w:tab w:val="left" w:pos="720"/>
              </w:tabs>
              <w:spacing w:line="240" w:lineRule="auto"/>
              <w:jc w:val="both"/>
              <w:rPr>
                <w:rFonts w:ascii="Arial Bold" w:hAnsi="Arial Bold"/>
                <w:sz w:val="20"/>
              </w:rPr>
            </w:pPr>
          </w:p>
          <w:p w:rsidR="009811B2" w:rsidRDefault="009811B2" w:rsidP="009811B2">
            <w:pPr>
              <w:tabs>
                <w:tab w:val="left" w:pos="720"/>
              </w:tabs>
              <w:spacing w:line="240" w:lineRule="auto"/>
              <w:jc w:val="both"/>
              <w:rPr>
                <w:rFonts w:ascii="Helvetica" w:hAnsi="Helvetica"/>
                <w:color w:val="04204F"/>
                <w:sz w:val="20"/>
              </w:rPr>
            </w:pPr>
            <w:r>
              <w:rPr>
                <w:rFonts w:ascii="Arial Bold" w:hAnsi="Arial Bold"/>
                <w:sz w:val="20"/>
              </w:rPr>
              <w:t xml:space="preserve">I. Foundational Standards: </w:t>
            </w:r>
            <w:r>
              <w:rPr>
                <w:rFonts w:ascii="Arial" w:hAnsi="Arial"/>
                <w:sz w:val="20"/>
              </w:rPr>
              <w:t xml:space="preserve">These standards should be applied across all domains to promote a holistic, quality response. These standards give particular attention to the need for good diagnosis at all stages of the project cycle, in order to better understand the context and apply more appropriately the standards in the domains that follow. </w:t>
            </w:r>
          </w:p>
          <w:p w:rsidR="003D32C7" w:rsidRDefault="009811B2" w:rsidP="003D32C7">
            <w:pPr>
              <w:spacing w:before="120"/>
              <w:jc w:val="both"/>
              <w:rPr>
                <w:rFonts w:ascii="Arial" w:hAnsi="Arial"/>
                <w:sz w:val="20"/>
              </w:rPr>
            </w:pPr>
            <w:r>
              <w:rPr>
                <w:rFonts w:ascii="Arial Bold" w:hAnsi="Arial Bold"/>
                <w:sz w:val="20"/>
              </w:rPr>
              <w:t>- Community participation</w:t>
            </w:r>
            <w:r w:rsidDel="00D074C5">
              <w:rPr>
                <w:rFonts w:ascii="Arial" w:hAnsi="Arial"/>
                <w:sz w:val="20"/>
              </w:rPr>
              <w:t xml:space="preserve"> </w:t>
            </w:r>
            <w:r w:rsidR="003D32C7">
              <w:rPr>
                <w:rFonts w:ascii="Arial" w:hAnsi="Arial"/>
                <w:sz w:val="20"/>
              </w:rPr>
              <w:t>and the utilisation of local resources when applying the standards.  This standard focuses on the engagement of communities to actively participate in the development of education response.  All sections of the community should participate and the whole project cycle (analysis, planning, design, implementation, monitoring and evaluation) should be covered.  In addition community resources should be identified and mobilised.</w:t>
            </w:r>
          </w:p>
          <w:p w:rsidR="009811B2" w:rsidRPr="003D32C7" w:rsidRDefault="009811B2" w:rsidP="003D32C7">
            <w:pPr>
              <w:numPr>
                <w:ilvl w:val="0"/>
                <w:numId w:val="13"/>
              </w:numPr>
              <w:tabs>
                <w:tab w:val="left" w:pos="720"/>
              </w:tabs>
              <w:spacing w:before="120" w:line="240" w:lineRule="auto"/>
              <w:ind w:hanging="122"/>
              <w:jc w:val="both"/>
              <w:rPr>
                <w:rFonts w:ascii="Arial" w:hAnsi="Arial"/>
                <w:sz w:val="20"/>
              </w:rPr>
            </w:pPr>
            <w:r>
              <w:rPr>
                <w:rFonts w:ascii="Arial Bold" w:hAnsi="Arial Bold"/>
                <w:sz w:val="20"/>
              </w:rPr>
              <w:t>Coordination</w:t>
            </w:r>
            <w:r w:rsidR="003D32C7">
              <w:rPr>
                <w:rFonts w:ascii="Arial Bold" w:hAnsi="Arial Bold"/>
                <w:sz w:val="20"/>
              </w:rPr>
              <w:t xml:space="preserve"> </w:t>
            </w:r>
            <w:r w:rsidR="003D32C7">
              <w:rPr>
                <w:rFonts w:ascii="Arial" w:hAnsi="Arial"/>
                <w:sz w:val="20"/>
              </w:rPr>
              <w:t>mechanisms for education should be put in place and support stakeholders working to ensure access to and continuity of quality education.  This includes links to government and NGO/UN agencies.</w:t>
            </w:r>
          </w:p>
          <w:p w:rsidR="009811B2" w:rsidRDefault="009811B2" w:rsidP="003D32C7">
            <w:pPr>
              <w:tabs>
                <w:tab w:val="left" w:pos="720"/>
              </w:tabs>
              <w:spacing w:before="120" w:line="240" w:lineRule="auto"/>
              <w:jc w:val="both"/>
              <w:rPr>
                <w:rFonts w:ascii="Arial" w:hAnsi="Arial"/>
                <w:sz w:val="20"/>
              </w:rPr>
            </w:pPr>
            <w:r>
              <w:rPr>
                <w:rFonts w:ascii="Arial Bold" w:hAnsi="Arial Bold"/>
                <w:sz w:val="20"/>
              </w:rPr>
              <w:t xml:space="preserve">- Analysis </w:t>
            </w:r>
            <w:r>
              <w:rPr>
                <w:rFonts w:ascii="Arial" w:hAnsi="Arial"/>
                <w:sz w:val="20"/>
              </w:rPr>
              <w:t>ensures that emergency education responses are based on an initial assessment that is followed by an appropriate response and continued monitoring and evaluation.</w:t>
            </w:r>
          </w:p>
          <w:p w:rsidR="009811B2" w:rsidRDefault="009811B2" w:rsidP="009811B2">
            <w:pPr>
              <w:tabs>
                <w:tab w:val="left" w:pos="720"/>
              </w:tabs>
              <w:spacing w:line="240" w:lineRule="auto"/>
              <w:jc w:val="both"/>
              <w:rPr>
                <w:rFonts w:ascii="Arial" w:hAnsi="Arial"/>
                <w:sz w:val="20"/>
              </w:rPr>
            </w:pPr>
          </w:p>
          <w:p w:rsidR="003D32C7" w:rsidRDefault="003D32C7" w:rsidP="009811B2">
            <w:pPr>
              <w:tabs>
                <w:tab w:val="left" w:pos="720"/>
              </w:tabs>
              <w:spacing w:line="240" w:lineRule="auto"/>
              <w:jc w:val="both"/>
              <w:rPr>
                <w:rFonts w:ascii="Arial" w:hAnsi="Arial"/>
                <w:sz w:val="20"/>
              </w:rPr>
            </w:pPr>
          </w:p>
          <w:p w:rsidR="003D32C7" w:rsidRDefault="003D32C7" w:rsidP="009811B2">
            <w:pPr>
              <w:tabs>
                <w:tab w:val="left" w:pos="720"/>
              </w:tabs>
              <w:spacing w:line="240" w:lineRule="auto"/>
              <w:jc w:val="both"/>
              <w:rPr>
                <w:rFonts w:ascii="Arial" w:hAnsi="Arial"/>
                <w:sz w:val="20"/>
              </w:rPr>
            </w:pPr>
          </w:p>
          <w:p w:rsidR="003D32C7" w:rsidRDefault="003D32C7" w:rsidP="009811B2">
            <w:pPr>
              <w:tabs>
                <w:tab w:val="left" w:pos="720"/>
              </w:tabs>
              <w:spacing w:line="240" w:lineRule="auto"/>
              <w:jc w:val="both"/>
              <w:rPr>
                <w:rFonts w:ascii="Arial" w:hAnsi="Arial"/>
                <w:sz w:val="20"/>
              </w:rPr>
            </w:pPr>
          </w:p>
          <w:p w:rsidR="003D32C7" w:rsidRDefault="003D32C7" w:rsidP="009811B2">
            <w:pPr>
              <w:tabs>
                <w:tab w:val="left" w:pos="720"/>
              </w:tabs>
              <w:spacing w:line="240" w:lineRule="auto"/>
              <w:jc w:val="both"/>
              <w:rPr>
                <w:rFonts w:ascii="Arial" w:hAnsi="Arial"/>
                <w:sz w:val="20"/>
              </w:rPr>
            </w:pPr>
          </w:p>
          <w:p w:rsidR="009811B2" w:rsidRDefault="009811B2" w:rsidP="009C624E">
            <w:pPr>
              <w:numPr>
                <w:ilvl w:val="0"/>
                <w:numId w:val="14"/>
              </w:numPr>
              <w:ind w:hanging="240"/>
              <w:jc w:val="both"/>
              <w:rPr>
                <w:rFonts w:ascii="Arial" w:hAnsi="Arial"/>
                <w:sz w:val="20"/>
              </w:rPr>
            </w:pPr>
            <w:r>
              <w:rPr>
                <w:rFonts w:ascii="Arial Bold" w:hAnsi="Arial Bold"/>
                <w:sz w:val="20"/>
              </w:rPr>
              <w:t xml:space="preserve">Access and Learning Environment: </w:t>
            </w:r>
            <w:r>
              <w:rPr>
                <w:rFonts w:ascii="Arial" w:hAnsi="Arial"/>
                <w:sz w:val="20"/>
              </w:rPr>
              <w:t>Standards in this domain focus on access to safe and relevant learning opportunities. They highlight critical linkages with other sectors such as health, water and sanitation, nutrition and shelter that help to enhance security, safety and physical, cognitive and psychological well-being.</w:t>
            </w:r>
          </w:p>
          <w:p w:rsidR="003D32C7" w:rsidRDefault="003D32C7" w:rsidP="003D32C7">
            <w:pPr>
              <w:ind w:left="240"/>
              <w:jc w:val="both"/>
              <w:rPr>
                <w:rFonts w:ascii="Arial" w:hAnsi="Arial"/>
                <w:sz w:val="20"/>
              </w:rPr>
            </w:pPr>
          </w:p>
          <w:p w:rsidR="00B82133" w:rsidRDefault="00B82133" w:rsidP="003D32C7">
            <w:pPr>
              <w:ind w:left="240"/>
              <w:jc w:val="both"/>
              <w:rPr>
                <w:rFonts w:ascii="Arial" w:hAnsi="Arial"/>
                <w:sz w:val="20"/>
              </w:rPr>
            </w:pPr>
          </w:p>
          <w:p w:rsidR="00B82133" w:rsidRDefault="00B82133" w:rsidP="003D32C7">
            <w:pPr>
              <w:ind w:left="240"/>
              <w:jc w:val="both"/>
              <w:rPr>
                <w:rFonts w:ascii="Arial" w:hAnsi="Arial"/>
                <w:sz w:val="20"/>
              </w:rPr>
            </w:pPr>
          </w:p>
          <w:p w:rsidR="009811B2" w:rsidRPr="00A93FD0" w:rsidRDefault="009811B2" w:rsidP="009C624E">
            <w:pPr>
              <w:numPr>
                <w:ilvl w:val="0"/>
                <w:numId w:val="14"/>
              </w:numPr>
              <w:tabs>
                <w:tab w:val="clear" w:pos="240"/>
                <w:tab w:val="num" w:pos="304"/>
              </w:tabs>
              <w:ind w:left="317" w:hanging="317"/>
              <w:rPr>
                <w:rFonts w:ascii="Arial Bold" w:hAnsi="Arial Bold"/>
                <w:sz w:val="20"/>
              </w:rPr>
            </w:pPr>
            <w:r>
              <w:rPr>
                <w:rFonts w:ascii="Arial Bold" w:hAnsi="Arial Bold"/>
                <w:sz w:val="20"/>
              </w:rPr>
              <w:t>Teaching and Learning:</w:t>
            </w:r>
            <w:r>
              <w:rPr>
                <w:rFonts w:ascii="Helvetica" w:hAnsi="Helvetica"/>
                <w:color w:val="04204F"/>
                <w:sz w:val="20"/>
              </w:rPr>
              <w:t xml:space="preserve"> </w:t>
            </w:r>
            <w:r>
              <w:rPr>
                <w:rFonts w:ascii="Arial" w:hAnsi="Arial"/>
                <w:sz w:val="20"/>
              </w:rPr>
              <w:t>These standards focus on critical elements that promote effective teaching and learning, including curricula, training, professional development and support, instruction and learning processes, and assessment of learning outcomes. Refer to the INEE Guidance Notes on Teaching and Learning for in-depth good practice on this domain.</w:t>
            </w:r>
          </w:p>
          <w:p w:rsidR="009811B2" w:rsidRDefault="009811B2" w:rsidP="009811B2">
            <w:pPr>
              <w:ind w:left="317"/>
              <w:rPr>
                <w:rFonts w:ascii="Arial" w:hAnsi="Arial"/>
                <w:sz w:val="20"/>
              </w:rPr>
            </w:pPr>
          </w:p>
          <w:p w:rsidR="009811B2" w:rsidRDefault="009811B2" w:rsidP="009811B2">
            <w:pPr>
              <w:tabs>
                <w:tab w:val="left" w:pos="720"/>
              </w:tabs>
              <w:spacing w:line="240" w:lineRule="auto"/>
              <w:jc w:val="both"/>
              <w:rPr>
                <w:rFonts w:ascii="Arial" w:hAnsi="Arial"/>
                <w:b/>
                <w:sz w:val="20"/>
              </w:rPr>
            </w:pPr>
          </w:p>
          <w:p w:rsidR="00B1651B" w:rsidRDefault="00B1651B" w:rsidP="009811B2">
            <w:pPr>
              <w:tabs>
                <w:tab w:val="left" w:pos="720"/>
              </w:tabs>
              <w:spacing w:line="240" w:lineRule="auto"/>
              <w:jc w:val="both"/>
              <w:rPr>
                <w:rFonts w:ascii="Arial" w:hAnsi="Arial"/>
                <w:b/>
                <w:sz w:val="20"/>
              </w:rPr>
            </w:pPr>
          </w:p>
          <w:p w:rsidR="00B1651B" w:rsidRDefault="00B1651B" w:rsidP="009811B2">
            <w:pPr>
              <w:tabs>
                <w:tab w:val="left" w:pos="720"/>
              </w:tabs>
              <w:spacing w:line="240" w:lineRule="auto"/>
              <w:jc w:val="both"/>
              <w:rPr>
                <w:rFonts w:ascii="Arial" w:hAnsi="Arial"/>
                <w:b/>
                <w:sz w:val="20"/>
              </w:rPr>
            </w:pPr>
          </w:p>
          <w:p w:rsidR="003D32C7" w:rsidRDefault="003D32C7" w:rsidP="009811B2">
            <w:pPr>
              <w:tabs>
                <w:tab w:val="left" w:pos="720"/>
              </w:tabs>
              <w:spacing w:line="240" w:lineRule="auto"/>
              <w:jc w:val="both"/>
              <w:rPr>
                <w:rFonts w:ascii="Arial" w:hAnsi="Arial"/>
                <w:b/>
                <w:sz w:val="20"/>
              </w:rPr>
            </w:pPr>
          </w:p>
          <w:p w:rsidR="009811B2" w:rsidRDefault="009811B2" w:rsidP="009C624E">
            <w:pPr>
              <w:numPr>
                <w:ilvl w:val="0"/>
                <w:numId w:val="14"/>
              </w:numPr>
              <w:tabs>
                <w:tab w:val="clear" w:pos="240"/>
                <w:tab w:val="num" w:pos="304"/>
              </w:tabs>
              <w:ind w:left="317" w:hanging="317"/>
              <w:rPr>
                <w:rFonts w:ascii="Arial" w:hAnsi="Arial"/>
                <w:sz w:val="20"/>
              </w:rPr>
            </w:pPr>
            <w:r w:rsidRPr="001C5017">
              <w:rPr>
                <w:rFonts w:ascii="Arial" w:hAnsi="Arial"/>
                <w:b/>
                <w:sz w:val="20"/>
              </w:rPr>
              <w:t>Teachers and Other Education Personnel:</w:t>
            </w:r>
            <w:r>
              <w:rPr>
                <w:rFonts w:ascii="Arial Bold" w:hAnsi="Arial Bold"/>
                <w:sz w:val="20"/>
              </w:rPr>
              <w:t xml:space="preserve"> </w:t>
            </w:r>
            <w:r>
              <w:rPr>
                <w:rFonts w:ascii="Arial" w:hAnsi="Arial"/>
                <w:sz w:val="20"/>
              </w:rPr>
              <w:t xml:space="preserve">Standards in this domain cover administration and management of human resources in the field of education. This includes recruitment and selection, conditions of service, and supervision and support.  INEE also has a Guidance Notes on Teacher Compensation which </w:t>
            </w:r>
          </w:p>
          <w:p w:rsidR="009811B2" w:rsidRDefault="009811B2" w:rsidP="009811B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Arial" w:hAnsi="Arial"/>
                <w:color w:val="04204F"/>
                <w:sz w:val="20"/>
                <w:lang w:val="en-US"/>
              </w:rPr>
            </w:pPr>
          </w:p>
          <w:p w:rsidR="009811B2" w:rsidRDefault="009811B2" w:rsidP="009811B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Arial" w:hAnsi="Arial"/>
                <w:color w:val="04204F"/>
                <w:sz w:val="20"/>
                <w:lang w:val="en-US"/>
              </w:rPr>
            </w:pPr>
          </w:p>
          <w:p w:rsidR="009811B2" w:rsidRDefault="009811B2" w:rsidP="009811B2">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Arial" w:hAnsi="Arial"/>
                <w:color w:val="04204F"/>
                <w:sz w:val="20"/>
                <w:lang w:val="en-US"/>
              </w:rPr>
            </w:pPr>
          </w:p>
          <w:p w:rsidR="009811B2" w:rsidRDefault="009811B2" w:rsidP="009C624E">
            <w:pPr>
              <w:numPr>
                <w:ilvl w:val="0"/>
                <w:numId w:val="14"/>
              </w:numPr>
              <w:tabs>
                <w:tab w:val="clear" w:pos="240"/>
                <w:tab w:val="num" w:pos="304"/>
              </w:tabs>
              <w:ind w:left="317" w:hanging="317"/>
              <w:rPr>
                <w:rFonts w:ascii="Arial Bold" w:hAnsi="Arial Bold"/>
                <w:sz w:val="20"/>
              </w:rPr>
            </w:pPr>
            <w:r>
              <w:rPr>
                <w:rFonts w:ascii="Arial Bold" w:hAnsi="Arial Bold"/>
                <w:sz w:val="20"/>
              </w:rPr>
              <w:t>Education Policy:</w:t>
            </w:r>
            <w:r>
              <w:rPr>
                <w:rFonts w:ascii="Helvetica" w:hAnsi="Helvetica"/>
                <w:color w:val="04204F"/>
                <w:sz w:val="20"/>
              </w:rPr>
              <w:t xml:space="preserve"> </w:t>
            </w:r>
            <w:r>
              <w:rPr>
                <w:rFonts w:ascii="Arial" w:hAnsi="Arial"/>
                <w:sz w:val="20"/>
              </w:rPr>
              <w:t>Standards in this domain focus on policy formulation and enactment, planning and implementation.</w:t>
            </w:r>
          </w:p>
          <w:p w:rsidR="009811B2" w:rsidRDefault="009811B2" w:rsidP="009811B2">
            <w:pPr>
              <w:tabs>
                <w:tab w:val="left" w:pos="720"/>
              </w:tabs>
              <w:spacing w:line="240" w:lineRule="auto"/>
              <w:rPr>
                <w:rFonts w:ascii="Arial" w:hAnsi="Arial"/>
                <w:sz w:val="20"/>
              </w:rPr>
            </w:pPr>
          </w:p>
          <w:p w:rsidR="000F095B" w:rsidRDefault="009811B2" w:rsidP="009811B2">
            <w:pPr>
              <w:spacing w:before="60" w:line="240" w:lineRule="auto"/>
              <w:ind w:left="357"/>
              <w:rPr>
                <w:rFonts w:ascii="Arial" w:hAnsi="Arial"/>
                <w:sz w:val="20"/>
              </w:rPr>
            </w:pPr>
            <w:r>
              <w:rPr>
                <w:rFonts w:ascii="Arial" w:hAnsi="Arial"/>
                <w:sz w:val="20"/>
              </w:rPr>
              <w:t>Summarise that these are general standards and benchmarks to strive to achieve, but they need to be contextualised to specific country contexts to be most useful. For guidance on how to do that, look at the case studies in the INEE toolkit (</w:t>
            </w:r>
            <w:hyperlink r:id="rId22" w:history="1">
              <w:r w:rsidRPr="002053DA">
                <w:rPr>
                  <w:rStyle w:val="Hyperlink"/>
                  <w:rFonts w:ascii="Arial" w:hAnsi="Arial"/>
                  <w:sz w:val="20"/>
                </w:rPr>
                <w:t>www.ineesite.org/toolkit</w:t>
              </w:r>
            </w:hyperlink>
            <w:r>
              <w:rPr>
                <w:rFonts w:ascii="Arial" w:hAnsi="Arial"/>
                <w:sz w:val="20"/>
              </w:rPr>
              <w:t xml:space="preserve">) and on the INEE website: </w:t>
            </w:r>
            <w:hyperlink r:id="rId23" w:history="1">
              <w:r w:rsidRPr="002053DA">
                <w:rPr>
                  <w:rStyle w:val="Hyperlink"/>
                  <w:rFonts w:ascii="Arial" w:hAnsi="Arial"/>
                  <w:sz w:val="20"/>
                </w:rPr>
                <w:t>www.ineesite.org/contextualisation</w:t>
              </w:r>
            </w:hyperlink>
            <w:r>
              <w:rPr>
                <w:rFonts w:ascii="Arial" w:hAnsi="Arial"/>
                <w:sz w:val="20"/>
              </w:rPr>
              <w:t>.</w:t>
            </w:r>
          </w:p>
          <w:p w:rsidR="00FC05AC" w:rsidRDefault="00FC05AC" w:rsidP="009811B2">
            <w:pPr>
              <w:spacing w:before="60" w:line="240" w:lineRule="auto"/>
              <w:ind w:left="357"/>
              <w:rPr>
                <w:rFonts w:ascii="Arial" w:hAnsi="Arial"/>
                <w:sz w:val="20"/>
              </w:rPr>
            </w:pPr>
          </w:p>
          <w:p w:rsidR="00FC05AC" w:rsidRPr="00EB6E7C" w:rsidRDefault="00FC05AC" w:rsidP="00D85087">
            <w:pPr>
              <w:spacing w:before="60" w:line="240" w:lineRule="auto"/>
              <w:ind w:left="357"/>
              <w:rPr>
                <w:rFonts w:ascii="Arial" w:hAnsi="Arial" w:cs="Arial"/>
                <w:sz w:val="20"/>
              </w:rPr>
            </w:pPr>
            <w:r>
              <w:rPr>
                <w:rFonts w:ascii="Arial" w:hAnsi="Arial"/>
                <w:sz w:val="20"/>
              </w:rPr>
              <w:t xml:space="preserve">Refer the participants to </w:t>
            </w:r>
            <w:r w:rsidRPr="00FC05AC">
              <w:rPr>
                <w:rFonts w:ascii="Arial" w:hAnsi="Arial"/>
                <w:b/>
                <w:sz w:val="20"/>
              </w:rPr>
              <w:t>Handout 2.5</w:t>
            </w:r>
            <w:r>
              <w:rPr>
                <w:rFonts w:ascii="Arial" w:hAnsi="Arial"/>
                <w:sz w:val="20"/>
              </w:rPr>
              <w:t xml:space="preserve"> which summarises some case studies of the utilisation of the INEE Minimum Standards</w:t>
            </w:r>
            <w:r w:rsidR="00B12E8F">
              <w:rPr>
                <w:rFonts w:ascii="Arial" w:hAnsi="Arial"/>
                <w:sz w:val="20"/>
              </w:rPr>
              <w:t xml:space="preserve">.  Also point out that many tools and resources can be found on the INEE website and a number </w:t>
            </w:r>
            <w:r w:rsidR="00D85087">
              <w:rPr>
                <w:rFonts w:ascii="Arial" w:hAnsi="Arial"/>
                <w:sz w:val="20"/>
              </w:rPr>
              <w:t xml:space="preserve">of these resources </w:t>
            </w:r>
            <w:r w:rsidR="00B12E8F">
              <w:rPr>
                <w:rFonts w:ascii="Arial" w:hAnsi="Arial"/>
                <w:sz w:val="20"/>
              </w:rPr>
              <w:t>are contained on their CD.</w:t>
            </w:r>
          </w:p>
        </w:tc>
      </w:tr>
    </w:tbl>
    <w:p w:rsidR="000F095B" w:rsidRPr="00552864" w:rsidRDefault="000F095B">
      <w:pPr>
        <w:rPr>
          <w:sz w:val="4"/>
          <w:szCs w:val="4"/>
        </w:rPr>
      </w:pPr>
    </w:p>
    <w:p w:rsidR="00C43F13" w:rsidRPr="00EB6E7C" w:rsidRDefault="009811B2" w:rsidP="002C7330">
      <w:pPr>
        <w:keepNext/>
        <w:pageBreakBefore/>
        <w:pBdr>
          <w:top w:val="single" w:sz="4" w:space="1" w:color="auto"/>
          <w:bottom w:val="single" w:sz="4" w:space="1" w:color="auto"/>
        </w:pBdr>
        <w:spacing w:after="120"/>
        <w:jc w:val="both"/>
        <w:rPr>
          <w:rFonts w:ascii="Arial" w:hAnsi="Arial" w:cs="Arial"/>
          <w:b/>
          <w:sz w:val="28"/>
          <w:szCs w:val="28"/>
        </w:rPr>
      </w:pPr>
      <w:r w:rsidRPr="009811B2">
        <w:rPr>
          <w:rFonts w:ascii="Arial" w:hAnsi="Arial" w:cs="Arial"/>
          <w:b/>
          <w:sz w:val="28"/>
          <w:szCs w:val="28"/>
        </w:rPr>
        <w:lastRenderedPageBreak/>
        <w:t>2.  Applying the Minimum Standards to a Case Study</w:t>
      </w:r>
      <w:r w:rsidR="00C01A53" w:rsidRPr="00C01A53">
        <w:rPr>
          <w:rFonts w:ascii="Arial" w:hAnsi="Arial" w:cs="Arial"/>
          <w:b/>
          <w:sz w:val="28"/>
          <w:szCs w:val="28"/>
        </w:rPr>
        <w:t xml:space="preserve"> </w:t>
      </w:r>
    </w:p>
    <w:p w:rsidR="00C43F13" w:rsidRPr="00EB6E7C" w:rsidRDefault="009811B2" w:rsidP="00C87842">
      <w:pPr>
        <w:keepNext/>
        <w:spacing w:before="120" w:after="120"/>
        <w:rPr>
          <w:rFonts w:ascii="Arial" w:hAnsi="Arial" w:cs="Arial"/>
          <w:b/>
          <w:sz w:val="22"/>
          <w:szCs w:val="22"/>
        </w:rPr>
      </w:pPr>
      <w:r>
        <w:rPr>
          <w:rFonts w:ascii="Arial" w:hAnsi="Arial" w:cs="Arial"/>
          <w:b/>
          <w:sz w:val="22"/>
          <w:szCs w:val="22"/>
        </w:rPr>
        <w:t>70</w:t>
      </w:r>
      <w:r w:rsidR="00C43F13" w:rsidRPr="00EB6E7C">
        <w:rPr>
          <w:rFonts w:ascii="Arial" w:hAnsi="Arial" w:cs="Arial"/>
          <w:b/>
          <w:sz w:val="22"/>
          <w:szCs w:val="22"/>
        </w:rPr>
        <w:t xml:space="preserve"> minutes</w:t>
      </w:r>
    </w:p>
    <w:tbl>
      <w:tblPr>
        <w:tblW w:w="10044" w:type="dxa"/>
        <w:jc w:val="center"/>
        <w:tblInd w:w="592" w:type="dxa"/>
        <w:tblBorders>
          <w:bottom w:val="single" w:sz="4" w:space="0" w:color="auto"/>
        </w:tblBorders>
        <w:tblLook w:val="0000"/>
      </w:tblPr>
      <w:tblGrid>
        <w:gridCol w:w="2777"/>
        <w:gridCol w:w="7267"/>
      </w:tblGrid>
      <w:tr w:rsidR="00C43F13" w:rsidRPr="00EB6E7C" w:rsidTr="00F960A8">
        <w:trPr>
          <w:trHeight w:val="255"/>
          <w:jc w:val="center"/>
        </w:trPr>
        <w:tc>
          <w:tcPr>
            <w:tcW w:w="2777" w:type="dxa"/>
            <w:tcBorders>
              <w:bottom w:val="nil"/>
            </w:tcBorders>
            <w:shd w:val="clear" w:color="auto" w:fill="auto"/>
            <w:noWrap/>
          </w:tcPr>
          <w:p w:rsidR="00F34F54" w:rsidRPr="00774564" w:rsidRDefault="00F34F54" w:rsidP="00C87842">
            <w:pPr>
              <w:rPr>
                <w:sz w:val="16"/>
                <w:szCs w:val="16"/>
              </w:rPr>
            </w:pPr>
          </w:p>
          <w:p w:rsidR="000A5441" w:rsidRPr="00774564" w:rsidRDefault="007522E0" w:rsidP="00C87842">
            <w:pPr>
              <w:rPr>
                <w:sz w:val="16"/>
                <w:szCs w:val="16"/>
              </w:rPr>
            </w:pPr>
            <w:r>
              <w:rPr>
                <w:noProof/>
                <w:sz w:val="16"/>
                <w:szCs w:val="16"/>
                <w:lang w:eastAsia="en-GB"/>
              </w:rPr>
              <w:drawing>
                <wp:inline distT="0" distB="0" distL="0" distR="0">
                  <wp:extent cx="1580443" cy="1185333"/>
                  <wp:effectExtent l="19050" t="19050" r="19757" b="14817"/>
                  <wp:docPr id="3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cstate="print"/>
                          <a:srcRect/>
                          <a:stretch>
                            <a:fillRect/>
                          </a:stretch>
                        </pic:blipFill>
                        <pic:spPr bwMode="auto">
                          <a:xfrm>
                            <a:off x="0" y="0"/>
                            <a:ext cx="1579815" cy="1184862"/>
                          </a:xfrm>
                          <a:prstGeom prst="rect">
                            <a:avLst/>
                          </a:prstGeom>
                          <a:noFill/>
                          <a:ln>
                            <a:solidFill>
                              <a:schemeClr val="accent1"/>
                            </a:solidFill>
                          </a:ln>
                        </pic:spPr>
                      </pic:pic>
                    </a:graphicData>
                  </a:graphic>
                </wp:inline>
              </w:drawing>
            </w:r>
          </w:p>
          <w:p w:rsidR="000A5441" w:rsidRPr="00774564" w:rsidRDefault="000A5441" w:rsidP="00C87842">
            <w:pPr>
              <w:rPr>
                <w:sz w:val="16"/>
                <w:szCs w:val="16"/>
              </w:rPr>
            </w:pPr>
          </w:p>
          <w:p w:rsidR="000A5441" w:rsidRPr="00774564" w:rsidRDefault="00B82133" w:rsidP="00C87842">
            <w:pPr>
              <w:rPr>
                <w:sz w:val="16"/>
                <w:szCs w:val="16"/>
              </w:rPr>
            </w:pPr>
            <w:r>
              <w:rPr>
                <w:noProof/>
                <w:sz w:val="16"/>
                <w:szCs w:val="16"/>
                <w:lang w:eastAsia="en-GB"/>
              </w:rPr>
              <w:drawing>
                <wp:inline distT="0" distB="0" distL="0" distR="0">
                  <wp:extent cx="1585484" cy="1189113"/>
                  <wp:effectExtent l="19050" t="19050" r="14716" b="11037"/>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srcRect/>
                          <a:stretch>
                            <a:fillRect/>
                          </a:stretch>
                        </pic:blipFill>
                        <pic:spPr bwMode="auto">
                          <a:xfrm>
                            <a:off x="0" y="0"/>
                            <a:ext cx="1588589" cy="1191442"/>
                          </a:xfrm>
                          <a:prstGeom prst="rect">
                            <a:avLst/>
                          </a:prstGeom>
                          <a:noFill/>
                          <a:ln>
                            <a:solidFill>
                              <a:schemeClr val="accent1"/>
                            </a:solidFill>
                          </a:ln>
                        </pic:spPr>
                      </pic:pic>
                    </a:graphicData>
                  </a:graphic>
                </wp:inline>
              </w:drawing>
            </w:r>
          </w:p>
          <w:p w:rsidR="000A5441" w:rsidRPr="00774564" w:rsidRDefault="000A5441" w:rsidP="00C87842">
            <w:pPr>
              <w:rPr>
                <w:sz w:val="16"/>
                <w:szCs w:val="16"/>
              </w:rPr>
            </w:pPr>
          </w:p>
          <w:p w:rsidR="00C43F13" w:rsidRPr="00774564" w:rsidRDefault="00C43F13" w:rsidP="00C87842">
            <w:pPr>
              <w:rPr>
                <w:sz w:val="16"/>
                <w:szCs w:val="16"/>
              </w:rPr>
            </w:pPr>
          </w:p>
          <w:p w:rsidR="00C43F13" w:rsidRPr="00774564" w:rsidRDefault="00C43F13" w:rsidP="00C87842">
            <w:pPr>
              <w:rPr>
                <w:sz w:val="16"/>
                <w:szCs w:val="16"/>
              </w:rPr>
            </w:pPr>
          </w:p>
          <w:p w:rsidR="00803238" w:rsidRPr="00EB4122" w:rsidRDefault="00803238" w:rsidP="00C87842">
            <w:pPr>
              <w:rPr>
                <w:sz w:val="8"/>
                <w:szCs w:val="8"/>
              </w:rPr>
            </w:pPr>
          </w:p>
          <w:p w:rsidR="00803238" w:rsidRPr="00EB4122" w:rsidRDefault="00803238" w:rsidP="00C87842">
            <w:pPr>
              <w:rPr>
                <w:sz w:val="8"/>
                <w:szCs w:val="8"/>
              </w:rPr>
            </w:pPr>
          </w:p>
          <w:p w:rsidR="00A72630" w:rsidRPr="00EB4122" w:rsidRDefault="00A72630" w:rsidP="00C87842">
            <w:pPr>
              <w:rPr>
                <w:sz w:val="8"/>
                <w:szCs w:val="8"/>
              </w:rPr>
            </w:pPr>
          </w:p>
          <w:p w:rsidR="00C43F13" w:rsidRPr="00EB4122" w:rsidRDefault="00C43F13" w:rsidP="00C87842">
            <w:pPr>
              <w:rPr>
                <w:sz w:val="8"/>
                <w:szCs w:val="8"/>
              </w:rPr>
            </w:pPr>
          </w:p>
          <w:p w:rsidR="00C43F13" w:rsidRPr="00EB4122" w:rsidRDefault="00C43F13" w:rsidP="00C87842">
            <w:pPr>
              <w:rPr>
                <w:sz w:val="8"/>
                <w:szCs w:val="8"/>
              </w:rPr>
            </w:pPr>
          </w:p>
          <w:p w:rsidR="00C43F13" w:rsidRPr="00EB4122" w:rsidRDefault="00C43F13" w:rsidP="00C87842">
            <w:pPr>
              <w:rPr>
                <w:sz w:val="8"/>
                <w:szCs w:val="8"/>
              </w:rPr>
            </w:pPr>
          </w:p>
          <w:p w:rsidR="00C43F13" w:rsidRPr="00EB4122" w:rsidRDefault="00C43F13" w:rsidP="00C87842">
            <w:pPr>
              <w:rPr>
                <w:sz w:val="8"/>
                <w:szCs w:val="8"/>
              </w:rPr>
            </w:pPr>
          </w:p>
          <w:p w:rsidR="00C43F13" w:rsidRPr="00EB4122" w:rsidRDefault="00C43F13" w:rsidP="00C87842">
            <w:pPr>
              <w:rPr>
                <w:sz w:val="8"/>
                <w:szCs w:val="8"/>
              </w:rPr>
            </w:pPr>
          </w:p>
          <w:p w:rsidR="00C43F13" w:rsidRPr="00774564" w:rsidRDefault="00C43F13" w:rsidP="00C87842">
            <w:pPr>
              <w:rPr>
                <w:sz w:val="16"/>
                <w:szCs w:val="16"/>
              </w:rPr>
            </w:pPr>
          </w:p>
          <w:p w:rsidR="00C43F13" w:rsidRPr="00774564" w:rsidRDefault="00C43F13" w:rsidP="00C87842">
            <w:pPr>
              <w:rPr>
                <w:sz w:val="16"/>
                <w:szCs w:val="16"/>
              </w:rPr>
            </w:pPr>
          </w:p>
          <w:p w:rsidR="0003547E" w:rsidRDefault="0003547E" w:rsidP="00C87842">
            <w:pPr>
              <w:rPr>
                <w:rFonts w:ascii="Arial" w:eastAsia="Times New Roman" w:hAnsi="Arial" w:cs="Arial"/>
                <w:sz w:val="16"/>
                <w:szCs w:val="16"/>
              </w:rPr>
            </w:pPr>
          </w:p>
          <w:p w:rsidR="0003547E" w:rsidRPr="00774564" w:rsidRDefault="0003547E" w:rsidP="00C87842">
            <w:pPr>
              <w:rPr>
                <w:rFonts w:ascii="Arial" w:eastAsia="Times New Roman" w:hAnsi="Arial" w:cs="Arial"/>
                <w:sz w:val="16"/>
                <w:szCs w:val="16"/>
              </w:rPr>
            </w:pPr>
          </w:p>
        </w:tc>
        <w:tc>
          <w:tcPr>
            <w:tcW w:w="7267" w:type="dxa"/>
            <w:tcBorders>
              <w:bottom w:val="nil"/>
            </w:tcBorders>
            <w:shd w:val="clear" w:color="auto" w:fill="auto"/>
            <w:noWrap/>
          </w:tcPr>
          <w:p w:rsidR="00B1651B" w:rsidRPr="00B1651B" w:rsidRDefault="00B1651B" w:rsidP="00B1651B">
            <w:pPr>
              <w:spacing w:before="60" w:after="60" w:line="240" w:lineRule="auto"/>
              <w:rPr>
                <w:rFonts w:ascii="Arial Bold" w:hAnsi="Arial Bold"/>
                <w:b/>
                <w:sz w:val="20"/>
              </w:rPr>
            </w:pPr>
            <w:r w:rsidRPr="00B1651B">
              <w:rPr>
                <w:rFonts w:ascii="Arial Bold" w:hAnsi="Arial Bold"/>
                <w:sz w:val="20"/>
              </w:rPr>
              <w:t>Group Work Exercise: (45 minutes)</w:t>
            </w:r>
          </w:p>
          <w:p w:rsidR="009811B2" w:rsidRPr="00B1651B" w:rsidRDefault="009811B2" w:rsidP="009C624E">
            <w:pPr>
              <w:pStyle w:val="ListParagraph"/>
              <w:numPr>
                <w:ilvl w:val="0"/>
                <w:numId w:val="16"/>
              </w:numPr>
              <w:spacing w:line="240" w:lineRule="auto"/>
              <w:jc w:val="both"/>
              <w:rPr>
                <w:rFonts w:ascii="Arial" w:hAnsi="Arial"/>
                <w:sz w:val="20"/>
              </w:rPr>
            </w:pPr>
            <w:r w:rsidRPr="00B1651B">
              <w:rPr>
                <w:rFonts w:ascii="Arial" w:hAnsi="Arial"/>
                <w:sz w:val="20"/>
              </w:rPr>
              <w:t xml:space="preserve">Tell participants that they will now have an opportunity to apply </w:t>
            </w:r>
            <w:proofErr w:type="gramStart"/>
            <w:r w:rsidRPr="00B1651B">
              <w:rPr>
                <w:rFonts w:ascii="Arial" w:hAnsi="Arial"/>
                <w:sz w:val="20"/>
              </w:rPr>
              <w:t>the  INEE</w:t>
            </w:r>
            <w:proofErr w:type="gramEnd"/>
            <w:r w:rsidRPr="00B1651B">
              <w:rPr>
                <w:rFonts w:ascii="Arial" w:hAnsi="Arial"/>
                <w:sz w:val="20"/>
              </w:rPr>
              <w:t xml:space="preserve"> Minimum Standards to a case study of the Tsunami disaster of 2005 (or local case if desired). Refer participants to </w:t>
            </w:r>
            <w:r w:rsidRPr="00FC05AC">
              <w:rPr>
                <w:rFonts w:ascii="Arial" w:hAnsi="Arial"/>
                <w:b/>
                <w:sz w:val="20"/>
              </w:rPr>
              <w:t>Handout 2.1</w:t>
            </w:r>
            <w:r w:rsidRPr="00B1651B">
              <w:rPr>
                <w:rFonts w:ascii="Arial" w:hAnsi="Arial"/>
                <w:sz w:val="20"/>
              </w:rPr>
              <w:t xml:space="preserve">, which summarises the five domains and standards for each domain. </w:t>
            </w:r>
          </w:p>
          <w:p w:rsidR="009811B2" w:rsidRDefault="009811B2" w:rsidP="009811B2">
            <w:pPr>
              <w:tabs>
                <w:tab w:val="left" w:pos="360"/>
              </w:tabs>
              <w:spacing w:line="240" w:lineRule="auto"/>
              <w:jc w:val="both"/>
              <w:rPr>
                <w:rFonts w:ascii="Arial" w:hAnsi="Arial"/>
                <w:sz w:val="20"/>
              </w:rPr>
            </w:pPr>
          </w:p>
          <w:p w:rsidR="009811B2" w:rsidRDefault="009811B2" w:rsidP="009811B2">
            <w:pPr>
              <w:tabs>
                <w:tab w:val="left" w:pos="360"/>
              </w:tabs>
              <w:spacing w:line="240" w:lineRule="auto"/>
              <w:jc w:val="both"/>
              <w:rPr>
                <w:rFonts w:ascii="Arial Italic" w:hAnsi="Arial Italic"/>
                <w:sz w:val="20"/>
              </w:rPr>
            </w:pPr>
            <w:r>
              <w:rPr>
                <w:rFonts w:ascii="Arial Italic" w:hAnsi="Arial Italic"/>
                <w:sz w:val="20"/>
              </w:rPr>
              <w:t xml:space="preserve">Note: Some already prepared alternative cases are also included in this module. </w:t>
            </w:r>
          </w:p>
          <w:p w:rsidR="009811B2" w:rsidRDefault="009811B2" w:rsidP="009811B2">
            <w:pPr>
              <w:jc w:val="both"/>
              <w:rPr>
                <w:rFonts w:ascii="Arial" w:hAnsi="Arial"/>
                <w:sz w:val="20"/>
              </w:rPr>
            </w:pPr>
          </w:p>
          <w:p w:rsidR="009811B2" w:rsidRPr="00B23208" w:rsidRDefault="009811B2" w:rsidP="009811B2">
            <w:pPr>
              <w:pStyle w:val="ListParagraph"/>
              <w:numPr>
                <w:ilvl w:val="0"/>
                <w:numId w:val="16"/>
              </w:numPr>
              <w:tabs>
                <w:tab w:val="left" w:pos="360"/>
              </w:tabs>
              <w:spacing w:line="240" w:lineRule="auto"/>
              <w:jc w:val="both"/>
              <w:rPr>
                <w:rFonts w:ascii="Arial" w:hAnsi="Arial"/>
                <w:sz w:val="20"/>
              </w:rPr>
            </w:pPr>
            <w:r w:rsidRPr="00B23208">
              <w:rPr>
                <w:rFonts w:ascii="Arial" w:hAnsi="Arial"/>
                <w:sz w:val="20"/>
              </w:rPr>
              <w:t xml:space="preserve">Have participants review </w:t>
            </w:r>
            <w:r w:rsidRPr="00B23208">
              <w:rPr>
                <w:rFonts w:ascii="Arial" w:hAnsi="Arial"/>
                <w:b/>
                <w:sz w:val="20"/>
              </w:rPr>
              <w:t>Handout 2.2</w:t>
            </w:r>
            <w:r w:rsidRPr="00B23208">
              <w:rPr>
                <w:rFonts w:ascii="Arial" w:hAnsi="Arial"/>
                <w:sz w:val="20"/>
              </w:rPr>
              <w:t>: Case Study of Emergency Education Response.  Divide participants into 5 groups of 5 or 6 people and assign each group the following domains to analyse as follows:</w:t>
            </w:r>
          </w:p>
          <w:p w:rsidR="009811B2" w:rsidRDefault="009811B2" w:rsidP="00B23208">
            <w:pPr>
              <w:spacing w:before="40" w:line="240" w:lineRule="auto"/>
              <w:ind w:left="357"/>
              <w:jc w:val="both"/>
              <w:rPr>
                <w:rFonts w:ascii="Arial Bold Italic" w:hAnsi="Arial Bold Italic"/>
                <w:sz w:val="20"/>
              </w:rPr>
            </w:pPr>
            <w:r>
              <w:rPr>
                <w:rFonts w:ascii="Arial" w:hAnsi="Arial"/>
                <w:sz w:val="20"/>
              </w:rPr>
              <w:t xml:space="preserve">Group 1: </w:t>
            </w:r>
            <w:r>
              <w:rPr>
                <w:rFonts w:ascii="Arial Bold Italic" w:hAnsi="Arial Bold Italic"/>
                <w:sz w:val="20"/>
              </w:rPr>
              <w:t>Community Participation, Coordination and Analysis</w:t>
            </w:r>
          </w:p>
          <w:p w:rsidR="009811B2" w:rsidRDefault="009811B2" w:rsidP="00B23208">
            <w:pPr>
              <w:spacing w:before="40" w:line="240" w:lineRule="auto"/>
              <w:ind w:left="357"/>
              <w:jc w:val="both"/>
              <w:rPr>
                <w:rFonts w:ascii="Arial" w:hAnsi="Arial"/>
                <w:sz w:val="20"/>
              </w:rPr>
            </w:pPr>
            <w:r>
              <w:rPr>
                <w:rFonts w:ascii="Arial" w:hAnsi="Arial"/>
                <w:sz w:val="20"/>
              </w:rPr>
              <w:t xml:space="preserve">Group 2: </w:t>
            </w:r>
            <w:r>
              <w:rPr>
                <w:rFonts w:ascii="Arial Bold Italic" w:hAnsi="Arial Bold Italic"/>
                <w:sz w:val="20"/>
              </w:rPr>
              <w:t>Education Policy</w:t>
            </w:r>
          </w:p>
          <w:p w:rsidR="009811B2" w:rsidRDefault="009811B2" w:rsidP="00B23208">
            <w:pPr>
              <w:spacing w:before="40" w:line="240" w:lineRule="auto"/>
              <w:ind w:left="357"/>
              <w:jc w:val="both"/>
              <w:rPr>
                <w:rFonts w:ascii="Arial Bold Italic" w:hAnsi="Arial Bold Italic"/>
                <w:sz w:val="20"/>
              </w:rPr>
            </w:pPr>
            <w:r>
              <w:rPr>
                <w:rFonts w:ascii="Arial" w:hAnsi="Arial"/>
                <w:sz w:val="20"/>
              </w:rPr>
              <w:t xml:space="preserve">Group 3: </w:t>
            </w:r>
            <w:r>
              <w:rPr>
                <w:rFonts w:ascii="Arial Bold Italic" w:hAnsi="Arial Bold Italic"/>
                <w:sz w:val="20"/>
              </w:rPr>
              <w:t>Access and Learning Environment</w:t>
            </w:r>
          </w:p>
          <w:p w:rsidR="009811B2" w:rsidRDefault="009811B2" w:rsidP="00B23208">
            <w:pPr>
              <w:spacing w:before="40" w:line="240" w:lineRule="auto"/>
              <w:ind w:left="357"/>
              <w:jc w:val="both"/>
              <w:rPr>
                <w:rFonts w:ascii="Arial Bold Italic" w:hAnsi="Arial Bold Italic"/>
                <w:sz w:val="20"/>
              </w:rPr>
            </w:pPr>
            <w:r>
              <w:rPr>
                <w:rFonts w:ascii="Arial" w:hAnsi="Arial"/>
                <w:sz w:val="20"/>
              </w:rPr>
              <w:t xml:space="preserve">Group 4: </w:t>
            </w:r>
            <w:r>
              <w:rPr>
                <w:rFonts w:ascii="Arial Bold Italic" w:hAnsi="Arial Bold Italic"/>
                <w:sz w:val="20"/>
              </w:rPr>
              <w:t>Teaching and Learning</w:t>
            </w:r>
          </w:p>
          <w:p w:rsidR="009811B2" w:rsidRDefault="009811B2" w:rsidP="00B23208">
            <w:pPr>
              <w:spacing w:before="40" w:line="240" w:lineRule="auto"/>
              <w:ind w:left="357"/>
              <w:jc w:val="both"/>
              <w:rPr>
                <w:rFonts w:ascii="Arial Bold Italic" w:hAnsi="Arial Bold Italic"/>
                <w:sz w:val="20"/>
              </w:rPr>
            </w:pPr>
            <w:r>
              <w:rPr>
                <w:rFonts w:ascii="Arial" w:hAnsi="Arial"/>
                <w:sz w:val="20"/>
              </w:rPr>
              <w:t xml:space="preserve">Group 5: </w:t>
            </w:r>
            <w:r>
              <w:rPr>
                <w:rFonts w:ascii="Arial Bold Italic" w:hAnsi="Arial Bold Italic"/>
                <w:sz w:val="20"/>
              </w:rPr>
              <w:t>Teachers and Other Education Personnel</w:t>
            </w:r>
          </w:p>
          <w:p w:rsidR="009811B2" w:rsidRDefault="009811B2" w:rsidP="009811B2">
            <w:pPr>
              <w:spacing w:line="240" w:lineRule="auto"/>
              <w:ind w:left="360"/>
              <w:jc w:val="both"/>
              <w:rPr>
                <w:rFonts w:ascii="Arial" w:hAnsi="Arial"/>
                <w:sz w:val="20"/>
                <w:u w:val="single"/>
              </w:rPr>
            </w:pPr>
          </w:p>
          <w:p w:rsidR="009811B2" w:rsidRDefault="009811B2" w:rsidP="009811B2">
            <w:pPr>
              <w:spacing w:line="240" w:lineRule="auto"/>
              <w:ind w:left="360"/>
              <w:jc w:val="both"/>
              <w:rPr>
                <w:rFonts w:ascii="Arial" w:hAnsi="Arial"/>
                <w:sz w:val="20"/>
                <w:u w:val="single"/>
              </w:rPr>
            </w:pPr>
            <w:r>
              <w:rPr>
                <w:rFonts w:ascii="Arial" w:hAnsi="Arial"/>
                <w:sz w:val="20"/>
                <w:u w:val="single"/>
              </w:rPr>
              <w:t>Tasks for the Groups:</w:t>
            </w:r>
          </w:p>
          <w:p w:rsidR="009811B2" w:rsidRDefault="009811B2" w:rsidP="009C624E">
            <w:pPr>
              <w:numPr>
                <w:ilvl w:val="0"/>
                <w:numId w:val="15"/>
              </w:numPr>
              <w:tabs>
                <w:tab w:val="clear" w:pos="233"/>
                <w:tab w:val="num" w:pos="593"/>
              </w:tabs>
              <w:spacing w:before="40" w:line="240" w:lineRule="auto"/>
              <w:ind w:left="593" w:hanging="233"/>
              <w:jc w:val="both"/>
              <w:rPr>
                <w:rFonts w:ascii="Arial" w:hAnsi="Arial"/>
                <w:sz w:val="20"/>
              </w:rPr>
            </w:pPr>
            <w:r>
              <w:rPr>
                <w:rFonts w:ascii="Arial" w:hAnsi="Arial"/>
                <w:sz w:val="20"/>
              </w:rPr>
              <w:t xml:space="preserve">Identify which standards from the assigned domain were used in the emergency education response </w:t>
            </w:r>
          </w:p>
          <w:p w:rsidR="009811B2" w:rsidRDefault="009811B2" w:rsidP="00B1651B">
            <w:pPr>
              <w:spacing w:before="40" w:line="240" w:lineRule="auto"/>
              <w:ind w:left="360"/>
              <w:jc w:val="both"/>
              <w:rPr>
                <w:rFonts w:ascii="Arial" w:hAnsi="Arial"/>
                <w:sz w:val="20"/>
              </w:rPr>
            </w:pPr>
            <w:r>
              <w:rPr>
                <w:rFonts w:ascii="Arial" w:hAnsi="Arial"/>
                <w:sz w:val="20"/>
              </w:rPr>
              <w:t xml:space="preserve">2) Identify which standards could have been used in the response. Groups can use </w:t>
            </w:r>
            <w:r w:rsidRPr="00B23208">
              <w:rPr>
                <w:rFonts w:ascii="Arial" w:hAnsi="Arial"/>
                <w:b/>
                <w:sz w:val="20"/>
              </w:rPr>
              <w:t>Handout 2.3</w:t>
            </w:r>
            <w:r>
              <w:rPr>
                <w:rFonts w:ascii="Arial" w:hAnsi="Arial"/>
                <w:sz w:val="20"/>
              </w:rPr>
              <w:t xml:space="preserve"> as a framework. Record responses on flip chart paper. </w:t>
            </w:r>
          </w:p>
          <w:p w:rsidR="009811B2" w:rsidRDefault="009811B2" w:rsidP="009811B2">
            <w:pPr>
              <w:spacing w:line="240" w:lineRule="auto"/>
              <w:ind w:left="360"/>
              <w:jc w:val="both"/>
              <w:rPr>
                <w:rFonts w:ascii="Arial Italic" w:hAnsi="Arial Italic"/>
                <w:sz w:val="20"/>
              </w:rPr>
            </w:pPr>
          </w:p>
          <w:p w:rsidR="009811B2" w:rsidRDefault="009811B2" w:rsidP="009811B2">
            <w:pPr>
              <w:spacing w:line="240" w:lineRule="auto"/>
              <w:ind w:left="360"/>
              <w:jc w:val="both"/>
              <w:rPr>
                <w:rFonts w:ascii="Arial Italic" w:hAnsi="Arial Italic"/>
                <w:sz w:val="20"/>
              </w:rPr>
            </w:pPr>
            <w:r>
              <w:rPr>
                <w:rFonts w:ascii="Arial Italic" w:hAnsi="Arial Italic"/>
                <w:sz w:val="20"/>
              </w:rPr>
              <w:t>Note that there may not be sufficient information to determine if some of the standards were used. In this case, participants should identify what might have been done in the response to apply the standard</w:t>
            </w:r>
            <w:r>
              <w:rPr>
                <w:rFonts w:ascii="Arial" w:hAnsi="Arial"/>
                <w:sz w:val="20"/>
              </w:rPr>
              <w:t>.</w:t>
            </w:r>
          </w:p>
          <w:p w:rsidR="009811B2" w:rsidRPr="00AD6469" w:rsidRDefault="009811B2" w:rsidP="00AD6469">
            <w:pPr>
              <w:pStyle w:val="ListParagraph"/>
              <w:spacing w:line="240" w:lineRule="auto"/>
              <w:ind w:left="360"/>
              <w:jc w:val="both"/>
              <w:rPr>
                <w:rFonts w:ascii="Arial" w:hAnsi="Arial"/>
                <w:sz w:val="20"/>
              </w:rPr>
            </w:pPr>
          </w:p>
          <w:p w:rsidR="009811B2" w:rsidRPr="00AD6469" w:rsidRDefault="009811B2" w:rsidP="009C624E">
            <w:pPr>
              <w:pStyle w:val="ListParagraph"/>
              <w:numPr>
                <w:ilvl w:val="0"/>
                <w:numId w:val="16"/>
              </w:numPr>
              <w:spacing w:line="240" w:lineRule="auto"/>
              <w:jc w:val="both"/>
              <w:rPr>
                <w:rFonts w:ascii="Arial" w:hAnsi="Arial"/>
                <w:sz w:val="20"/>
              </w:rPr>
            </w:pPr>
            <w:r w:rsidRPr="00AD6469">
              <w:rPr>
                <w:rFonts w:ascii="Arial" w:hAnsi="Arial"/>
                <w:b/>
                <w:sz w:val="20"/>
              </w:rPr>
              <w:t>Gallery Walk</w:t>
            </w:r>
            <w:r w:rsidRPr="00AD6469">
              <w:rPr>
                <w:rFonts w:ascii="Arial" w:hAnsi="Arial"/>
                <w:sz w:val="20"/>
              </w:rPr>
              <w:t xml:space="preserve"> </w:t>
            </w:r>
            <w:r w:rsidRPr="00AD6469">
              <w:rPr>
                <w:rFonts w:ascii="Arial" w:hAnsi="Arial"/>
                <w:b/>
                <w:sz w:val="20"/>
              </w:rPr>
              <w:t>(20 minutes)</w:t>
            </w:r>
          </w:p>
          <w:p w:rsidR="009811B2" w:rsidRDefault="00AD6469" w:rsidP="00AD6469">
            <w:pPr>
              <w:pStyle w:val="ListParagraph"/>
              <w:spacing w:before="60" w:line="240" w:lineRule="auto"/>
              <w:ind w:left="357"/>
              <w:contextualSpacing w:val="0"/>
              <w:jc w:val="both"/>
              <w:rPr>
                <w:rFonts w:ascii="Arial" w:hAnsi="Arial"/>
                <w:sz w:val="20"/>
              </w:rPr>
            </w:pPr>
            <w:r>
              <w:rPr>
                <w:rFonts w:ascii="Arial" w:hAnsi="Arial"/>
                <w:sz w:val="20"/>
              </w:rPr>
              <w:t>H</w:t>
            </w:r>
            <w:r w:rsidR="009811B2">
              <w:rPr>
                <w:rFonts w:ascii="Arial" w:hAnsi="Arial"/>
                <w:sz w:val="20"/>
              </w:rPr>
              <w:t xml:space="preserve">ave one person in each group stay with their domain and describe to others their analysis of the case study. </w:t>
            </w:r>
          </w:p>
          <w:p w:rsidR="009811B2" w:rsidRDefault="009811B2" w:rsidP="009811B2">
            <w:pPr>
              <w:spacing w:line="240" w:lineRule="auto"/>
              <w:rPr>
                <w:rFonts w:ascii="Arial" w:hAnsi="Arial"/>
                <w:sz w:val="20"/>
              </w:rPr>
            </w:pPr>
          </w:p>
          <w:p w:rsidR="009811B2" w:rsidRPr="00AD6469" w:rsidRDefault="009811B2" w:rsidP="009C624E">
            <w:pPr>
              <w:pStyle w:val="ListParagraph"/>
              <w:numPr>
                <w:ilvl w:val="0"/>
                <w:numId w:val="16"/>
              </w:numPr>
              <w:spacing w:line="240" w:lineRule="auto"/>
              <w:jc w:val="both"/>
              <w:rPr>
                <w:rFonts w:ascii="Arial" w:hAnsi="Arial"/>
                <w:sz w:val="20"/>
              </w:rPr>
            </w:pPr>
            <w:r w:rsidRPr="00AD6469">
              <w:rPr>
                <w:rFonts w:ascii="Arial" w:hAnsi="Arial"/>
                <w:b/>
                <w:sz w:val="20"/>
              </w:rPr>
              <w:t>Plenary Discussion to Summarise</w:t>
            </w:r>
            <w:r w:rsidRPr="00AD6469">
              <w:rPr>
                <w:rFonts w:ascii="Arial" w:hAnsi="Arial"/>
                <w:sz w:val="20"/>
              </w:rPr>
              <w:t xml:space="preserve"> (</w:t>
            </w:r>
            <w:r w:rsidRPr="00AD6469">
              <w:rPr>
                <w:rFonts w:ascii="Arial" w:hAnsi="Arial"/>
                <w:b/>
                <w:sz w:val="20"/>
              </w:rPr>
              <w:t>5 minutes)</w:t>
            </w:r>
          </w:p>
          <w:p w:rsidR="009811B2" w:rsidRDefault="009811B2" w:rsidP="00AD6469">
            <w:pPr>
              <w:pStyle w:val="ListParagraph"/>
              <w:spacing w:before="60" w:line="240" w:lineRule="auto"/>
              <w:ind w:left="357"/>
              <w:contextualSpacing w:val="0"/>
              <w:jc w:val="both"/>
              <w:rPr>
                <w:rFonts w:ascii="Arial" w:hAnsi="Arial"/>
                <w:sz w:val="20"/>
              </w:rPr>
            </w:pPr>
            <w:r>
              <w:rPr>
                <w:rFonts w:ascii="Arial" w:hAnsi="Arial"/>
                <w:sz w:val="20"/>
              </w:rPr>
              <w:t>Summarise the standards that were met and were not met in this case study. Answer any last questions.</w:t>
            </w:r>
          </w:p>
          <w:p w:rsidR="006B2BF4" w:rsidRPr="00EB6E7C" w:rsidRDefault="006B2BF4" w:rsidP="009811B2">
            <w:pPr>
              <w:pStyle w:val="dots"/>
              <w:numPr>
                <w:ilvl w:val="0"/>
                <w:numId w:val="0"/>
              </w:numPr>
              <w:spacing w:before="40"/>
              <w:jc w:val="both"/>
              <w:rPr>
                <w:rFonts w:ascii="Arial" w:hAnsi="Arial" w:cs="Arial"/>
                <w:sz w:val="20"/>
              </w:rPr>
            </w:pPr>
          </w:p>
        </w:tc>
      </w:tr>
    </w:tbl>
    <w:p w:rsidR="00372FAA" w:rsidRPr="006D49F6" w:rsidRDefault="00372FAA" w:rsidP="006D49F6">
      <w:pPr>
        <w:spacing w:line="240" w:lineRule="auto"/>
        <w:rPr>
          <w:rFonts w:ascii="Arial" w:hAnsi="Arial" w:cs="Arial"/>
          <w:sz w:val="4"/>
          <w:szCs w:val="4"/>
        </w:rPr>
      </w:pPr>
    </w:p>
    <w:p w:rsidR="00463BB1" w:rsidRDefault="00463BB1" w:rsidP="002C7330">
      <w:pPr>
        <w:rPr>
          <w:rFonts w:ascii="Arial" w:hAnsi="Arial" w:cs="Arial"/>
          <w:b/>
          <w:sz w:val="28"/>
          <w:szCs w:val="28"/>
        </w:rPr>
      </w:pPr>
      <w:r>
        <w:rPr>
          <w:rFonts w:ascii="Arial" w:hAnsi="Arial" w:cs="Arial"/>
          <w:b/>
          <w:sz w:val="28"/>
          <w:szCs w:val="28"/>
        </w:rPr>
        <w:br w:type="page"/>
      </w:r>
    </w:p>
    <w:p w:rsidR="000F095B" w:rsidRDefault="002C7330" w:rsidP="003A6323">
      <w:pPr>
        <w:pBdr>
          <w:top w:val="single" w:sz="4" w:space="1" w:color="auto"/>
          <w:bottom w:val="single" w:sz="4" w:space="1" w:color="auto"/>
        </w:pBdr>
        <w:rPr>
          <w:rFonts w:ascii="Arial" w:hAnsi="Arial" w:cs="Arial"/>
          <w:b/>
          <w:sz w:val="28"/>
          <w:szCs w:val="28"/>
        </w:rPr>
      </w:pPr>
      <w:r>
        <w:rPr>
          <w:rFonts w:ascii="Arial" w:hAnsi="Arial" w:cs="Arial"/>
          <w:b/>
          <w:sz w:val="28"/>
          <w:szCs w:val="28"/>
        </w:rPr>
        <w:lastRenderedPageBreak/>
        <w:t>Supplementary</w:t>
      </w:r>
      <w:r w:rsidR="000F095B">
        <w:rPr>
          <w:rFonts w:ascii="Arial" w:hAnsi="Arial" w:cs="Arial"/>
          <w:b/>
          <w:sz w:val="28"/>
          <w:szCs w:val="28"/>
        </w:rPr>
        <w:t xml:space="preserve"> Exercises</w:t>
      </w:r>
    </w:p>
    <w:p w:rsidR="000F095B" w:rsidRDefault="000F095B" w:rsidP="0064667C">
      <w:pPr>
        <w:rPr>
          <w:rFonts w:ascii="Arial" w:hAnsi="Arial" w:cs="Arial"/>
          <w:b/>
          <w:sz w:val="28"/>
          <w:szCs w:val="28"/>
        </w:rPr>
      </w:pPr>
    </w:p>
    <w:p w:rsidR="00D76FF5" w:rsidRPr="009811B2" w:rsidRDefault="003A6323" w:rsidP="009811B2">
      <w:pPr>
        <w:pBdr>
          <w:top w:val="single" w:sz="4" w:space="1" w:color="auto"/>
          <w:bottom w:val="single" w:sz="4" w:space="1" w:color="auto"/>
        </w:pBdr>
        <w:rPr>
          <w:rFonts w:ascii="Arial" w:hAnsi="Arial" w:cs="Arial"/>
          <w:b/>
          <w:sz w:val="28"/>
          <w:szCs w:val="28"/>
        </w:rPr>
      </w:pPr>
      <w:r>
        <w:rPr>
          <w:rFonts w:ascii="Arial" w:hAnsi="Arial" w:cs="Arial"/>
          <w:b/>
          <w:sz w:val="28"/>
          <w:szCs w:val="28"/>
        </w:rPr>
        <w:t xml:space="preserve">Exercise - </w:t>
      </w:r>
      <w:r w:rsidR="009811B2" w:rsidRPr="009811B2">
        <w:rPr>
          <w:rFonts w:ascii="Arial" w:hAnsi="Arial" w:cs="Arial"/>
          <w:b/>
          <w:sz w:val="28"/>
          <w:szCs w:val="28"/>
        </w:rPr>
        <w:t>Applying the Minimum Standards to a Case Study: Conflict-induced Refugee Situatio</w:t>
      </w:r>
      <w:r w:rsidR="009811B2">
        <w:rPr>
          <w:rFonts w:ascii="Arial" w:hAnsi="Arial" w:cs="Arial"/>
          <w:b/>
          <w:sz w:val="28"/>
          <w:szCs w:val="28"/>
        </w:rPr>
        <w:t>n</w:t>
      </w:r>
    </w:p>
    <w:p w:rsidR="003A6323" w:rsidRPr="00EB6E7C" w:rsidRDefault="009811B2" w:rsidP="009811B2">
      <w:pPr>
        <w:spacing w:before="120"/>
        <w:rPr>
          <w:rFonts w:ascii="Arial" w:hAnsi="Arial" w:cs="Arial"/>
          <w:b/>
          <w:sz w:val="22"/>
          <w:szCs w:val="22"/>
        </w:rPr>
      </w:pPr>
      <w:r>
        <w:rPr>
          <w:rFonts w:ascii="Arial" w:hAnsi="Arial" w:cs="Arial"/>
          <w:b/>
          <w:sz w:val="22"/>
          <w:szCs w:val="22"/>
        </w:rPr>
        <w:t>30 minutes</w:t>
      </w:r>
    </w:p>
    <w:tbl>
      <w:tblPr>
        <w:tblW w:w="5000" w:type="pct"/>
        <w:tblLayout w:type="fixed"/>
        <w:tblLook w:val="01E0"/>
      </w:tblPr>
      <w:tblGrid>
        <w:gridCol w:w="2898"/>
        <w:gridCol w:w="6344"/>
      </w:tblGrid>
      <w:tr w:rsidR="00D76FF5" w:rsidRPr="00EB6E7C" w:rsidTr="00037A4C">
        <w:tc>
          <w:tcPr>
            <w:tcW w:w="1568" w:type="pct"/>
          </w:tcPr>
          <w:p w:rsidR="00037A4C" w:rsidRPr="00037A4C" w:rsidRDefault="00037A4C" w:rsidP="00037A4C">
            <w:pPr>
              <w:spacing w:before="120" w:after="120"/>
              <w:rPr>
                <w:sz w:val="20"/>
                <w:szCs w:val="20"/>
              </w:rPr>
            </w:pPr>
          </w:p>
          <w:p w:rsidR="00037A4C" w:rsidRPr="00037A4C" w:rsidRDefault="00037A4C" w:rsidP="00037A4C">
            <w:pPr>
              <w:spacing w:before="120" w:after="120"/>
              <w:rPr>
                <w:sz w:val="20"/>
                <w:szCs w:val="20"/>
              </w:rPr>
            </w:pPr>
          </w:p>
          <w:p w:rsidR="00037A4C" w:rsidRPr="00037A4C" w:rsidRDefault="00037A4C" w:rsidP="00037A4C">
            <w:pPr>
              <w:spacing w:before="120" w:after="120"/>
              <w:rPr>
                <w:sz w:val="20"/>
                <w:szCs w:val="20"/>
              </w:rPr>
            </w:pPr>
          </w:p>
          <w:p w:rsidR="00D76FF5" w:rsidRPr="00037A4C" w:rsidRDefault="00D76FF5" w:rsidP="00037A4C">
            <w:pPr>
              <w:spacing w:before="120" w:after="120"/>
              <w:rPr>
                <w:rFonts w:cs="Arial"/>
                <w:sz w:val="20"/>
                <w:szCs w:val="20"/>
              </w:rPr>
            </w:pPr>
          </w:p>
        </w:tc>
        <w:tc>
          <w:tcPr>
            <w:tcW w:w="3432" w:type="pct"/>
          </w:tcPr>
          <w:p w:rsidR="009811B2" w:rsidRPr="00F145A7" w:rsidRDefault="0069018F" w:rsidP="0069018F">
            <w:pPr>
              <w:tabs>
                <w:tab w:val="left" w:pos="360"/>
              </w:tabs>
              <w:spacing w:line="240" w:lineRule="auto"/>
              <w:rPr>
                <w:rFonts w:ascii="Arial" w:hAnsi="Arial"/>
                <w:i/>
                <w:sz w:val="20"/>
              </w:rPr>
            </w:pPr>
            <w:r w:rsidRPr="001937BA">
              <w:rPr>
                <w:rFonts w:ascii="Arial" w:eastAsia="Times New Roman" w:hAnsi="Arial" w:cs="Arial"/>
                <w:b/>
                <w:i/>
                <w:color w:val="000000"/>
                <w:sz w:val="20"/>
              </w:rPr>
              <w:t>Note to facilitator</w:t>
            </w:r>
            <w:r>
              <w:rPr>
                <w:rFonts w:ascii="Arial" w:eastAsia="Times New Roman" w:hAnsi="Arial" w:cs="Arial"/>
                <w:b/>
                <w:i/>
                <w:color w:val="000000"/>
                <w:sz w:val="20"/>
              </w:rPr>
              <w:t xml:space="preserve">: </w:t>
            </w:r>
            <w:r w:rsidR="009811B2" w:rsidRPr="00F145A7">
              <w:rPr>
                <w:rFonts w:ascii="Arial" w:hAnsi="Arial"/>
                <w:i/>
                <w:sz w:val="20"/>
              </w:rPr>
              <w:t>You need to have strong internet connection, a laptop and projector in order to conduct this exercise.</w:t>
            </w:r>
          </w:p>
          <w:p w:rsidR="009811B2" w:rsidRDefault="009811B2" w:rsidP="009811B2">
            <w:pPr>
              <w:spacing w:line="240" w:lineRule="auto"/>
              <w:rPr>
                <w:rFonts w:ascii="Arial Italic" w:hAnsi="Arial Italic"/>
                <w:sz w:val="20"/>
              </w:rPr>
            </w:pPr>
          </w:p>
          <w:p w:rsidR="009811B2" w:rsidRDefault="009811B2" w:rsidP="009C624E">
            <w:pPr>
              <w:numPr>
                <w:ilvl w:val="1"/>
                <w:numId w:val="17"/>
              </w:numPr>
              <w:spacing w:line="240" w:lineRule="auto"/>
              <w:ind w:hanging="360"/>
              <w:jc w:val="both"/>
              <w:rPr>
                <w:rFonts w:ascii="Arial" w:hAnsi="Arial"/>
                <w:sz w:val="20"/>
              </w:rPr>
            </w:pPr>
            <w:r>
              <w:rPr>
                <w:rFonts w:ascii="Arial" w:hAnsi="Arial"/>
                <w:sz w:val="20"/>
              </w:rPr>
              <w:t xml:space="preserve">Tell participants that they will now have an opportunity to apply the INEE Minimum Standards to a case study of the continuing Darfur refugee crisis in Chad.  </w:t>
            </w:r>
          </w:p>
          <w:p w:rsidR="009811B2" w:rsidRDefault="009811B2" w:rsidP="009811B2">
            <w:pPr>
              <w:tabs>
                <w:tab w:val="left" w:pos="360"/>
              </w:tabs>
              <w:spacing w:line="240" w:lineRule="auto"/>
              <w:jc w:val="both"/>
              <w:rPr>
                <w:rFonts w:ascii="Arial" w:hAnsi="Arial"/>
                <w:sz w:val="20"/>
              </w:rPr>
            </w:pPr>
          </w:p>
          <w:p w:rsidR="009811B2" w:rsidRDefault="009811B2" w:rsidP="009C624E">
            <w:pPr>
              <w:numPr>
                <w:ilvl w:val="1"/>
                <w:numId w:val="17"/>
              </w:numPr>
              <w:spacing w:line="240" w:lineRule="auto"/>
              <w:ind w:hanging="360"/>
              <w:jc w:val="both"/>
              <w:rPr>
                <w:rFonts w:ascii="Arial" w:hAnsi="Arial"/>
                <w:sz w:val="20"/>
              </w:rPr>
            </w:pPr>
            <w:r>
              <w:rPr>
                <w:rFonts w:ascii="Arial" w:hAnsi="Arial"/>
                <w:sz w:val="20"/>
              </w:rPr>
              <w:t xml:space="preserve">Split the participants into groups of 5 or 6 people. </w:t>
            </w:r>
          </w:p>
          <w:p w:rsidR="009811B2" w:rsidRDefault="009811B2" w:rsidP="009811B2">
            <w:pPr>
              <w:tabs>
                <w:tab w:val="left" w:pos="360"/>
              </w:tabs>
              <w:spacing w:line="240" w:lineRule="auto"/>
              <w:jc w:val="both"/>
              <w:rPr>
                <w:rFonts w:ascii="Arial" w:hAnsi="Arial"/>
                <w:sz w:val="20"/>
              </w:rPr>
            </w:pPr>
          </w:p>
          <w:p w:rsidR="009811B2" w:rsidRDefault="009811B2" w:rsidP="009C624E">
            <w:pPr>
              <w:numPr>
                <w:ilvl w:val="1"/>
                <w:numId w:val="17"/>
              </w:numPr>
              <w:spacing w:line="240" w:lineRule="auto"/>
              <w:ind w:hanging="360"/>
              <w:jc w:val="both"/>
              <w:rPr>
                <w:rFonts w:ascii="Arial" w:hAnsi="Arial"/>
                <w:sz w:val="20"/>
              </w:rPr>
            </w:pPr>
            <w:r>
              <w:rPr>
                <w:rFonts w:ascii="Arial" w:hAnsi="Arial"/>
                <w:sz w:val="20"/>
              </w:rPr>
              <w:t xml:space="preserve">Show the UNHCR video, “Learning is their Future: </w:t>
            </w:r>
            <w:proofErr w:type="spellStart"/>
            <w:r>
              <w:rPr>
                <w:rFonts w:ascii="Arial" w:hAnsi="Arial"/>
                <w:sz w:val="20"/>
              </w:rPr>
              <w:t>Darfuri</w:t>
            </w:r>
            <w:proofErr w:type="spellEnd"/>
            <w:r>
              <w:rPr>
                <w:rFonts w:ascii="Arial" w:hAnsi="Arial"/>
                <w:sz w:val="20"/>
              </w:rPr>
              <w:t xml:space="preserve"> Refugees in Eastern Chad </w:t>
            </w:r>
          </w:p>
          <w:p w:rsidR="0069018F" w:rsidRDefault="0069018F" w:rsidP="0069018F">
            <w:pPr>
              <w:spacing w:line="240" w:lineRule="auto"/>
              <w:jc w:val="both"/>
              <w:rPr>
                <w:rFonts w:ascii="Arial" w:hAnsi="Arial"/>
                <w:sz w:val="20"/>
              </w:rPr>
            </w:pPr>
          </w:p>
          <w:p w:rsidR="009811B2" w:rsidRDefault="009811B2" w:rsidP="009811B2">
            <w:pPr>
              <w:tabs>
                <w:tab w:val="left" w:pos="360"/>
              </w:tabs>
              <w:spacing w:line="240" w:lineRule="auto"/>
              <w:jc w:val="both"/>
              <w:rPr>
                <w:rFonts w:ascii="Arial" w:hAnsi="Arial"/>
                <w:sz w:val="20"/>
              </w:rPr>
            </w:pPr>
            <w:r>
              <w:rPr>
                <w:rFonts w:ascii="Arial" w:hAnsi="Arial"/>
                <w:sz w:val="20"/>
              </w:rPr>
              <w:t xml:space="preserve">(Link on </w:t>
            </w:r>
            <w:proofErr w:type="spellStart"/>
            <w:r>
              <w:rPr>
                <w:rFonts w:ascii="Arial" w:hAnsi="Arial"/>
                <w:sz w:val="20"/>
              </w:rPr>
              <w:t>Youtube</w:t>
            </w:r>
            <w:proofErr w:type="spellEnd"/>
            <w:r>
              <w:rPr>
                <w:rFonts w:ascii="Arial" w:hAnsi="Arial"/>
                <w:sz w:val="20"/>
              </w:rPr>
              <w:t xml:space="preserve">: </w:t>
            </w:r>
            <w:r w:rsidRPr="00822986">
              <w:rPr>
                <w:rFonts w:ascii="Arial" w:hAnsi="Arial"/>
                <w:sz w:val="20"/>
              </w:rPr>
              <w:t>http://www.youtube.com/watch?v=dCU8ZDlabz4</w:t>
            </w:r>
            <w:r>
              <w:rPr>
                <w:rFonts w:ascii="Arial" w:hAnsi="Arial"/>
                <w:sz w:val="20"/>
              </w:rPr>
              <w:t>)</w:t>
            </w:r>
          </w:p>
          <w:p w:rsidR="009811B2" w:rsidRDefault="009811B2" w:rsidP="009811B2">
            <w:pPr>
              <w:tabs>
                <w:tab w:val="left" w:pos="360"/>
              </w:tabs>
              <w:spacing w:line="240" w:lineRule="auto"/>
              <w:jc w:val="both"/>
              <w:rPr>
                <w:rFonts w:ascii="Arial" w:hAnsi="Arial"/>
                <w:sz w:val="20"/>
              </w:rPr>
            </w:pPr>
          </w:p>
          <w:p w:rsidR="009811B2" w:rsidRDefault="009811B2" w:rsidP="009C624E">
            <w:pPr>
              <w:numPr>
                <w:ilvl w:val="1"/>
                <w:numId w:val="17"/>
              </w:numPr>
              <w:spacing w:line="240" w:lineRule="auto"/>
              <w:ind w:hanging="360"/>
              <w:jc w:val="both"/>
              <w:rPr>
                <w:rFonts w:ascii="Arial" w:hAnsi="Arial"/>
                <w:sz w:val="20"/>
              </w:rPr>
            </w:pPr>
            <w:r>
              <w:rPr>
                <w:rFonts w:ascii="Arial" w:hAnsi="Arial"/>
                <w:sz w:val="20"/>
              </w:rPr>
              <w:t xml:space="preserve">Based on the information provided in the video, each group will fill in </w:t>
            </w:r>
            <w:r w:rsidRPr="00FC05AC">
              <w:rPr>
                <w:rFonts w:ascii="Arial" w:hAnsi="Arial"/>
                <w:b/>
                <w:sz w:val="20"/>
              </w:rPr>
              <w:t>Handout 2.2</w:t>
            </w:r>
            <w:r>
              <w:rPr>
                <w:rFonts w:ascii="Arial" w:hAnsi="Arial"/>
                <w:sz w:val="20"/>
              </w:rPr>
              <w:t xml:space="preserve"> on flip chart paper to analyse where the standards were met, what actions were taken and where there were gaps. The groups will have 15 minutes to analyse the situation.</w:t>
            </w:r>
          </w:p>
          <w:p w:rsidR="009811B2" w:rsidRDefault="009811B2" w:rsidP="009811B2">
            <w:pPr>
              <w:tabs>
                <w:tab w:val="left" w:pos="360"/>
              </w:tabs>
              <w:spacing w:line="240" w:lineRule="auto"/>
              <w:jc w:val="both"/>
              <w:rPr>
                <w:rFonts w:ascii="Arial" w:hAnsi="Arial"/>
                <w:sz w:val="20"/>
              </w:rPr>
            </w:pPr>
          </w:p>
          <w:p w:rsidR="009811B2" w:rsidRDefault="009811B2" w:rsidP="009C624E">
            <w:pPr>
              <w:numPr>
                <w:ilvl w:val="1"/>
                <w:numId w:val="17"/>
              </w:numPr>
              <w:spacing w:line="240" w:lineRule="auto"/>
              <w:ind w:hanging="360"/>
              <w:jc w:val="both"/>
              <w:rPr>
                <w:rFonts w:ascii="Arial" w:hAnsi="Arial"/>
                <w:sz w:val="20"/>
              </w:rPr>
            </w:pPr>
            <w:r>
              <w:rPr>
                <w:rFonts w:ascii="Arial" w:hAnsi="Arial"/>
                <w:sz w:val="20"/>
              </w:rPr>
              <w:t>Gallery Walk (10 minutes)</w:t>
            </w:r>
          </w:p>
          <w:p w:rsidR="009811B2" w:rsidRDefault="009811B2" w:rsidP="009811B2">
            <w:pPr>
              <w:tabs>
                <w:tab w:val="left" w:pos="360"/>
              </w:tabs>
              <w:spacing w:line="240" w:lineRule="auto"/>
              <w:jc w:val="both"/>
              <w:rPr>
                <w:rFonts w:ascii="Arial" w:hAnsi="Arial"/>
                <w:sz w:val="20"/>
              </w:rPr>
            </w:pPr>
          </w:p>
          <w:p w:rsidR="009811B2" w:rsidRDefault="009811B2" w:rsidP="009C624E">
            <w:pPr>
              <w:numPr>
                <w:ilvl w:val="1"/>
                <w:numId w:val="17"/>
              </w:numPr>
              <w:spacing w:line="240" w:lineRule="auto"/>
              <w:ind w:hanging="360"/>
              <w:jc w:val="both"/>
              <w:rPr>
                <w:rFonts w:ascii="Arial" w:hAnsi="Arial"/>
                <w:sz w:val="20"/>
              </w:rPr>
            </w:pPr>
            <w:r>
              <w:rPr>
                <w:rFonts w:ascii="Arial" w:hAnsi="Arial"/>
                <w:sz w:val="20"/>
              </w:rPr>
              <w:t>Large Plenary and summarise</w:t>
            </w:r>
          </w:p>
          <w:p w:rsidR="009811B2" w:rsidRDefault="009811B2" w:rsidP="009811B2">
            <w:pPr>
              <w:tabs>
                <w:tab w:val="left" w:pos="360"/>
              </w:tabs>
              <w:spacing w:line="240" w:lineRule="auto"/>
              <w:jc w:val="both"/>
              <w:rPr>
                <w:rFonts w:ascii="Arial" w:hAnsi="Arial"/>
                <w:sz w:val="20"/>
              </w:rPr>
            </w:pPr>
          </w:p>
          <w:p w:rsidR="00D76FF5" w:rsidRPr="009811B2" w:rsidRDefault="00D76FF5" w:rsidP="009811B2">
            <w:pPr>
              <w:spacing w:before="120"/>
              <w:jc w:val="both"/>
              <w:rPr>
                <w:rFonts w:ascii="ArialMS" w:hAnsi="ArialMS" w:cs="ArialMS"/>
                <w:szCs w:val="22"/>
                <w:lang w:eastAsia="en-GB"/>
              </w:rPr>
            </w:pPr>
          </w:p>
        </w:tc>
      </w:tr>
    </w:tbl>
    <w:p w:rsidR="00D76FF5" w:rsidRDefault="00D76FF5" w:rsidP="00D76FF5">
      <w:pPr>
        <w:jc w:val="both"/>
      </w:pPr>
    </w:p>
    <w:p w:rsidR="009811B2" w:rsidRDefault="009811B2" w:rsidP="00D76FF5">
      <w:pPr>
        <w:jc w:val="both"/>
      </w:pPr>
    </w:p>
    <w:p w:rsidR="009811B2" w:rsidRDefault="009811B2">
      <w:pPr>
        <w:spacing w:after="200"/>
      </w:pPr>
      <w:r>
        <w:br w:type="page"/>
      </w:r>
    </w:p>
    <w:p w:rsidR="009811B2" w:rsidRPr="00EB6E7C" w:rsidRDefault="009811B2" w:rsidP="009811B2">
      <w:pPr>
        <w:pBdr>
          <w:top w:val="single" w:sz="4" w:space="1" w:color="auto"/>
          <w:bottom w:val="single" w:sz="12" w:space="1" w:color="auto"/>
        </w:pBdr>
      </w:pPr>
      <w:r w:rsidRPr="009811B2">
        <w:rPr>
          <w:rFonts w:ascii="Arial" w:hAnsi="Arial" w:cs="Arial"/>
          <w:b/>
          <w:sz w:val="28"/>
          <w:szCs w:val="28"/>
        </w:rPr>
        <w:lastRenderedPageBreak/>
        <w:t>Applying the Guidance Notes on Teaching and Learning</w:t>
      </w:r>
    </w:p>
    <w:p w:rsidR="009811B2" w:rsidRPr="00EB6E7C" w:rsidRDefault="009811B2" w:rsidP="009811B2">
      <w:pPr>
        <w:spacing w:before="120"/>
        <w:rPr>
          <w:rFonts w:ascii="Arial" w:hAnsi="Arial" w:cs="Arial"/>
          <w:b/>
          <w:sz w:val="22"/>
          <w:szCs w:val="22"/>
        </w:rPr>
      </w:pPr>
      <w:r>
        <w:rPr>
          <w:rFonts w:ascii="Arial" w:hAnsi="Arial" w:cs="Arial"/>
          <w:b/>
          <w:sz w:val="22"/>
          <w:szCs w:val="22"/>
        </w:rPr>
        <w:t>50 minutes</w:t>
      </w:r>
    </w:p>
    <w:tbl>
      <w:tblPr>
        <w:tblW w:w="5000" w:type="pct"/>
        <w:tblLayout w:type="fixed"/>
        <w:tblLook w:val="01E0"/>
      </w:tblPr>
      <w:tblGrid>
        <w:gridCol w:w="2898"/>
        <w:gridCol w:w="6344"/>
      </w:tblGrid>
      <w:tr w:rsidR="009811B2" w:rsidRPr="00EB6E7C" w:rsidTr="00CE603B">
        <w:tc>
          <w:tcPr>
            <w:tcW w:w="1568" w:type="pct"/>
          </w:tcPr>
          <w:p w:rsidR="009811B2" w:rsidRDefault="009811B2" w:rsidP="00CE603B">
            <w:pPr>
              <w:spacing w:before="120" w:after="120"/>
              <w:rPr>
                <w:sz w:val="20"/>
                <w:szCs w:val="20"/>
              </w:rPr>
            </w:pPr>
          </w:p>
          <w:p w:rsidR="009811B2" w:rsidRDefault="009811B2" w:rsidP="00CE603B">
            <w:pPr>
              <w:spacing w:before="120" w:after="120"/>
              <w:rPr>
                <w:sz w:val="20"/>
                <w:szCs w:val="20"/>
              </w:rPr>
            </w:pPr>
          </w:p>
          <w:p w:rsidR="009811B2" w:rsidRDefault="009811B2" w:rsidP="00CE603B">
            <w:pPr>
              <w:spacing w:before="120" w:after="120"/>
              <w:rPr>
                <w:sz w:val="20"/>
                <w:szCs w:val="20"/>
              </w:rPr>
            </w:pPr>
          </w:p>
          <w:p w:rsidR="009811B2" w:rsidRDefault="009811B2" w:rsidP="00CE603B">
            <w:pPr>
              <w:spacing w:before="120" w:after="120"/>
              <w:rPr>
                <w:sz w:val="20"/>
                <w:szCs w:val="20"/>
              </w:rPr>
            </w:pPr>
          </w:p>
          <w:p w:rsidR="009811B2" w:rsidRDefault="009811B2" w:rsidP="00CE603B">
            <w:pPr>
              <w:spacing w:before="120" w:after="120"/>
              <w:rPr>
                <w:sz w:val="20"/>
                <w:szCs w:val="20"/>
              </w:rPr>
            </w:pPr>
          </w:p>
          <w:p w:rsidR="009811B2" w:rsidRDefault="009811B2" w:rsidP="00CE603B">
            <w:pPr>
              <w:spacing w:before="120" w:after="120"/>
              <w:rPr>
                <w:sz w:val="20"/>
                <w:szCs w:val="20"/>
              </w:rPr>
            </w:pPr>
          </w:p>
          <w:p w:rsidR="009811B2" w:rsidRDefault="009811B2" w:rsidP="00CE603B">
            <w:pPr>
              <w:spacing w:before="120" w:after="120"/>
              <w:rPr>
                <w:sz w:val="20"/>
                <w:szCs w:val="20"/>
              </w:rPr>
            </w:pPr>
          </w:p>
          <w:p w:rsidR="009811B2" w:rsidRDefault="009811B2" w:rsidP="00CE603B">
            <w:pPr>
              <w:spacing w:before="120" w:after="120"/>
              <w:rPr>
                <w:sz w:val="20"/>
                <w:szCs w:val="20"/>
              </w:rPr>
            </w:pPr>
          </w:p>
          <w:p w:rsidR="009811B2" w:rsidRPr="00037A4C" w:rsidRDefault="009811B2" w:rsidP="00CE603B">
            <w:pPr>
              <w:spacing w:before="120" w:after="120"/>
              <w:rPr>
                <w:sz w:val="20"/>
                <w:szCs w:val="20"/>
              </w:rPr>
            </w:pPr>
          </w:p>
          <w:p w:rsidR="009811B2" w:rsidRPr="00037A4C" w:rsidRDefault="009811B2" w:rsidP="00CE603B">
            <w:pPr>
              <w:spacing w:before="120" w:after="120"/>
              <w:rPr>
                <w:sz w:val="20"/>
                <w:szCs w:val="20"/>
              </w:rPr>
            </w:pPr>
            <w:r>
              <w:rPr>
                <w:noProof/>
                <w:sz w:val="20"/>
                <w:szCs w:val="20"/>
                <w:lang w:eastAsia="en-GB"/>
              </w:rPr>
              <w:drawing>
                <wp:inline distT="0" distB="0" distL="0" distR="0">
                  <wp:extent cx="1640417" cy="1238515"/>
                  <wp:effectExtent l="1905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srcRect/>
                          <a:stretch>
                            <a:fillRect/>
                          </a:stretch>
                        </pic:blipFill>
                        <pic:spPr bwMode="auto">
                          <a:xfrm>
                            <a:off x="0" y="0"/>
                            <a:ext cx="1642699" cy="1240238"/>
                          </a:xfrm>
                          <a:prstGeom prst="rect">
                            <a:avLst/>
                          </a:prstGeom>
                          <a:noFill/>
                        </pic:spPr>
                      </pic:pic>
                    </a:graphicData>
                  </a:graphic>
                </wp:inline>
              </w:drawing>
            </w:r>
          </w:p>
          <w:p w:rsidR="009811B2" w:rsidRPr="00037A4C" w:rsidRDefault="009811B2" w:rsidP="00CE603B">
            <w:pPr>
              <w:spacing w:before="120" w:after="120"/>
              <w:rPr>
                <w:sz w:val="20"/>
                <w:szCs w:val="20"/>
              </w:rPr>
            </w:pPr>
          </w:p>
          <w:p w:rsidR="009811B2" w:rsidRPr="00037A4C" w:rsidRDefault="009811B2" w:rsidP="00CE603B">
            <w:pPr>
              <w:spacing w:before="120" w:after="120"/>
              <w:rPr>
                <w:rFonts w:cs="Arial"/>
                <w:sz w:val="20"/>
                <w:szCs w:val="20"/>
              </w:rPr>
            </w:pPr>
          </w:p>
        </w:tc>
        <w:tc>
          <w:tcPr>
            <w:tcW w:w="3432" w:type="pct"/>
          </w:tcPr>
          <w:p w:rsidR="009811B2" w:rsidRDefault="009811B2" w:rsidP="009811B2">
            <w:pPr>
              <w:rPr>
                <w:rFonts w:ascii="Arial Bold" w:eastAsia="Times New Roman" w:hAnsi="Arial Bold"/>
                <w:sz w:val="20"/>
              </w:rPr>
            </w:pPr>
            <w:r w:rsidRPr="00B80D7E">
              <w:rPr>
                <w:rFonts w:ascii="Arial Bold" w:eastAsia="Times New Roman" w:hAnsi="Arial Bold"/>
                <w:sz w:val="20"/>
              </w:rPr>
              <w:t>Part 1 (Presentation): Understanding the Inter-related nature of the Teaching and Learning Standards (10 minutes)</w:t>
            </w:r>
          </w:p>
          <w:p w:rsidR="009811B2" w:rsidRPr="00B14705" w:rsidRDefault="009811B2" w:rsidP="009C624E">
            <w:pPr>
              <w:numPr>
                <w:ilvl w:val="1"/>
                <w:numId w:val="21"/>
              </w:numPr>
              <w:spacing w:before="120" w:line="240" w:lineRule="auto"/>
              <w:ind w:left="357" w:hanging="357"/>
              <w:jc w:val="both"/>
              <w:rPr>
                <w:rFonts w:ascii="Arial" w:hAnsi="Arial"/>
                <w:sz w:val="20"/>
              </w:rPr>
            </w:pPr>
            <w:r w:rsidRPr="00B14705">
              <w:rPr>
                <w:rFonts w:ascii="Arial" w:hAnsi="Arial"/>
                <w:sz w:val="20"/>
              </w:rPr>
              <w:t>Provide copies of the Guidance Notes on Teaching and Learning. Briefly introduce the Guidance Notes:</w:t>
            </w:r>
          </w:p>
          <w:p w:rsidR="00B14705" w:rsidRDefault="009811B2" w:rsidP="00B14705">
            <w:pPr>
              <w:spacing w:before="60" w:line="240" w:lineRule="auto"/>
              <w:ind w:left="357"/>
              <w:jc w:val="both"/>
              <w:rPr>
                <w:rFonts w:ascii="Arial" w:hAnsi="Arial"/>
                <w:sz w:val="20"/>
              </w:rPr>
            </w:pPr>
            <w:r w:rsidRPr="00B14705">
              <w:rPr>
                <w:rFonts w:ascii="Arial" w:hAnsi="Arial"/>
                <w:sz w:val="20"/>
              </w:rPr>
              <w:t xml:space="preserve">They were developed in response to requests from INEE and Education Cluster members working in the field who recognised that additional guidance beyond the Minimum Standards was required to increase and maintain quality programming during emergencies through the early recovery and preparedness. </w:t>
            </w:r>
          </w:p>
          <w:p w:rsidR="009811B2" w:rsidRPr="00E34266" w:rsidRDefault="009811B2" w:rsidP="00B14705">
            <w:pPr>
              <w:spacing w:before="60" w:line="240" w:lineRule="auto"/>
              <w:ind w:left="357"/>
              <w:jc w:val="both"/>
              <w:rPr>
                <w:bCs/>
              </w:rPr>
            </w:pPr>
            <w:r w:rsidRPr="00B14705">
              <w:rPr>
                <w:rFonts w:ascii="Arial" w:hAnsi="Arial"/>
                <w:sz w:val="20"/>
              </w:rPr>
              <w:t>They were developed with the feedback, input and review of more than 300 individual technical experts at every level and capacity of education in emergencies and field tested through consultative workshops held around the world</w:t>
            </w:r>
            <w:r w:rsidRPr="00E34266">
              <w:rPr>
                <w:bCs/>
              </w:rPr>
              <w:t xml:space="preserve">.  </w:t>
            </w:r>
          </w:p>
          <w:p w:rsidR="009811B2" w:rsidRPr="00B14705" w:rsidRDefault="009811B2" w:rsidP="00FC05AC">
            <w:pPr>
              <w:numPr>
                <w:ilvl w:val="1"/>
                <w:numId w:val="21"/>
              </w:numPr>
              <w:spacing w:before="120" w:line="240" w:lineRule="auto"/>
              <w:ind w:left="357" w:hanging="357"/>
              <w:jc w:val="both"/>
              <w:rPr>
                <w:rFonts w:ascii="Arial" w:hAnsi="Arial"/>
                <w:sz w:val="20"/>
              </w:rPr>
            </w:pPr>
            <w:r w:rsidRPr="00B14705">
              <w:rPr>
                <w:rFonts w:ascii="Arial" w:hAnsi="Arial"/>
                <w:sz w:val="20"/>
              </w:rPr>
              <w:t xml:space="preserve">Explain how each section of the Guidance Notes explores one of the Teaching and Learning Standards and quickly review each section.  </w:t>
            </w:r>
          </w:p>
          <w:p w:rsidR="009811B2" w:rsidRPr="00E34266" w:rsidRDefault="009811B2" w:rsidP="009C624E">
            <w:pPr>
              <w:pStyle w:val="ListParagraph"/>
              <w:numPr>
                <w:ilvl w:val="0"/>
                <w:numId w:val="18"/>
              </w:numPr>
              <w:spacing w:before="40" w:line="240" w:lineRule="auto"/>
              <w:ind w:left="714" w:hanging="357"/>
              <w:contextualSpacing w:val="0"/>
              <w:rPr>
                <w:rFonts w:ascii="Arial" w:hAnsi="Arial" w:cs="Arial"/>
                <w:sz w:val="20"/>
              </w:rPr>
            </w:pPr>
            <w:r w:rsidRPr="00E34266">
              <w:rPr>
                <w:rFonts w:ascii="Arial" w:hAnsi="Arial" w:cs="Arial"/>
                <w:sz w:val="20"/>
              </w:rPr>
              <w:t>INEE Minimum Standard and Key Actions</w:t>
            </w:r>
          </w:p>
          <w:p w:rsidR="009811B2" w:rsidRPr="00E34266" w:rsidRDefault="009811B2" w:rsidP="009C624E">
            <w:pPr>
              <w:pStyle w:val="ListParagraph"/>
              <w:numPr>
                <w:ilvl w:val="0"/>
                <w:numId w:val="18"/>
              </w:numPr>
              <w:spacing w:before="40" w:line="240" w:lineRule="auto"/>
              <w:ind w:left="714" w:hanging="357"/>
              <w:contextualSpacing w:val="0"/>
              <w:rPr>
                <w:rFonts w:ascii="Arial" w:hAnsi="Arial" w:cs="Arial"/>
                <w:sz w:val="20"/>
              </w:rPr>
            </w:pPr>
            <w:r w:rsidRPr="00E34266">
              <w:rPr>
                <w:rFonts w:ascii="Arial" w:hAnsi="Arial" w:cs="Arial"/>
                <w:sz w:val="20"/>
              </w:rPr>
              <w:t>Tables of Key Points to Consider</w:t>
            </w:r>
          </w:p>
          <w:p w:rsidR="009811B2" w:rsidRPr="00E34266" w:rsidRDefault="009811B2" w:rsidP="009C624E">
            <w:pPr>
              <w:pStyle w:val="ListParagraph"/>
              <w:numPr>
                <w:ilvl w:val="0"/>
                <w:numId w:val="18"/>
              </w:numPr>
              <w:spacing w:before="40" w:line="240" w:lineRule="auto"/>
              <w:ind w:left="714" w:hanging="357"/>
              <w:contextualSpacing w:val="0"/>
              <w:rPr>
                <w:rFonts w:ascii="Arial" w:hAnsi="Arial" w:cs="Arial"/>
                <w:sz w:val="20"/>
              </w:rPr>
            </w:pPr>
            <w:r w:rsidRPr="00E34266">
              <w:rPr>
                <w:rFonts w:ascii="Arial" w:hAnsi="Arial" w:cs="Arial"/>
                <w:sz w:val="20"/>
              </w:rPr>
              <w:t>Notes providing additional information following each table</w:t>
            </w:r>
          </w:p>
          <w:p w:rsidR="009811B2" w:rsidRPr="00E34266" w:rsidRDefault="009811B2" w:rsidP="009C624E">
            <w:pPr>
              <w:numPr>
                <w:ilvl w:val="0"/>
                <w:numId w:val="18"/>
              </w:numPr>
              <w:spacing w:before="40"/>
              <w:ind w:left="714" w:hanging="357"/>
              <w:rPr>
                <w:rFonts w:ascii="Arial" w:eastAsia="Times New Roman" w:hAnsi="Arial"/>
                <w:sz w:val="20"/>
              </w:rPr>
            </w:pPr>
            <w:r w:rsidRPr="00E34266">
              <w:rPr>
                <w:rFonts w:ascii="Arial" w:hAnsi="Arial" w:cs="Arial"/>
                <w:sz w:val="20"/>
              </w:rPr>
              <w:t>Monitoring and Evaluation</w:t>
            </w:r>
            <w:r w:rsidRPr="00E34266">
              <w:rPr>
                <w:rFonts w:ascii="Arial" w:eastAsia="Times New Roman" w:hAnsi="Arial"/>
                <w:sz w:val="20"/>
              </w:rPr>
              <w:t xml:space="preserve"> </w:t>
            </w:r>
          </w:p>
          <w:p w:rsidR="009811B2" w:rsidRPr="00E34266" w:rsidRDefault="009811B2" w:rsidP="009C624E">
            <w:pPr>
              <w:numPr>
                <w:ilvl w:val="0"/>
                <w:numId w:val="18"/>
              </w:numPr>
              <w:spacing w:before="40"/>
              <w:ind w:left="714" w:hanging="357"/>
              <w:rPr>
                <w:rFonts w:ascii="Arial" w:eastAsia="Times New Roman" w:hAnsi="Arial"/>
                <w:sz w:val="20"/>
              </w:rPr>
            </w:pPr>
            <w:r w:rsidRPr="00E34266">
              <w:rPr>
                <w:rFonts w:ascii="Arial" w:eastAsia="Times New Roman" w:hAnsi="Arial"/>
                <w:sz w:val="20"/>
              </w:rPr>
              <w:t xml:space="preserve">Related Resources </w:t>
            </w:r>
          </w:p>
          <w:p w:rsidR="009811B2" w:rsidRPr="00B14705" w:rsidRDefault="009811B2" w:rsidP="00FC05AC">
            <w:pPr>
              <w:numPr>
                <w:ilvl w:val="1"/>
                <w:numId w:val="21"/>
              </w:numPr>
              <w:spacing w:before="120" w:line="240" w:lineRule="auto"/>
              <w:ind w:left="357" w:hanging="357"/>
              <w:jc w:val="both"/>
              <w:rPr>
                <w:rFonts w:ascii="Arial" w:hAnsi="Arial"/>
                <w:sz w:val="20"/>
              </w:rPr>
            </w:pPr>
            <w:r w:rsidRPr="00B14705">
              <w:rPr>
                <w:rFonts w:ascii="Arial" w:hAnsi="Arial"/>
                <w:sz w:val="20"/>
              </w:rPr>
              <w:t xml:space="preserve">Briefly remind participants that the INEE Minimum Standard domains are all inter-connected and all domains must be considered in a comprehensive education system and response.  Teaching and Learning is only one of the domains.  Although projects may focus on standards under Teaching and Learning only, they need to take into consideration all other domains, including the foundational domains.  </w:t>
            </w:r>
          </w:p>
          <w:p w:rsidR="009811B2" w:rsidRPr="00E34266" w:rsidRDefault="009811B2" w:rsidP="00FC05AC">
            <w:pPr>
              <w:numPr>
                <w:ilvl w:val="1"/>
                <w:numId w:val="21"/>
              </w:numPr>
              <w:spacing w:before="120" w:line="240" w:lineRule="auto"/>
              <w:ind w:left="357" w:hanging="357"/>
              <w:jc w:val="both"/>
              <w:rPr>
                <w:rFonts w:ascii="Arial" w:hAnsi="Arial" w:cs="Arial"/>
                <w:sz w:val="20"/>
              </w:rPr>
            </w:pPr>
            <w:r w:rsidRPr="00E34266">
              <w:rPr>
                <w:rFonts w:ascii="Arial" w:hAnsi="Arial" w:cs="Arial"/>
                <w:sz w:val="20"/>
              </w:rPr>
              <w:t xml:space="preserve">Explain how each of the Teaching and Learning standards are also inter-related; </w:t>
            </w:r>
            <w:r w:rsidRPr="00A978AD">
              <w:rPr>
                <w:rFonts w:ascii="Arial" w:hAnsi="Arial" w:cs="Arial"/>
                <w:i/>
                <w:sz w:val="20"/>
              </w:rPr>
              <w:t xml:space="preserve">refer participants to the Guidance Notes introduction, page </w:t>
            </w:r>
            <w:proofErr w:type="gramStart"/>
            <w:r w:rsidRPr="00A978AD">
              <w:rPr>
                <w:rFonts w:ascii="Arial" w:hAnsi="Arial" w:cs="Arial"/>
                <w:i/>
                <w:sz w:val="20"/>
              </w:rPr>
              <w:t>iv</w:t>
            </w:r>
            <w:proofErr w:type="gramEnd"/>
            <w:r w:rsidRPr="00A978AD">
              <w:rPr>
                <w:rFonts w:ascii="Arial" w:hAnsi="Arial" w:cs="Arial"/>
                <w:i/>
                <w:sz w:val="20"/>
              </w:rPr>
              <w:t>, for a quick overview.</w:t>
            </w:r>
            <w:r w:rsidRPr="00E34266">
              <w:rPr>
                <w:rFonts w:ascii="Arial" w:hAnsi="Arial" w:cs="Arial"/>
                <w:sz w:val="20"/>
              </w:rPr>
              <w:t xml:space="preserve">  </w:t>
            </w:r>
          </w:p>
          <w:p w:rsidR="009811B2" w:rsidRPr="00B14705" w:rsidRDefault="009811B2" w:rsidP="00FC05AC">
            <w:pPr>
              <w:numPr>
                <w:ilvl w:val="1"/>
                <w:numId w:val="21"/>
              </w:numPr>
              <w:spacing w:before="120" w:line="240" w:lineRule="auto"/>
              <w:ind w:left="357" w:hanging="357"/>
              <w:jc w:val="both"/>
              <w:rPr>
                <w:rFonts w:ascii="Arial" w:eastAsia="Times New Roman" w:hAnsi="Arial"/>
                <w:b/>
                <w:sz w:val="20"/>
              </w:rPr>
            </w:pPr>
            <w:r w:rsidRPr="00E34266">
              <w:rPr>
                <w:rFonts w:ascii="Arial" w:hAnsi="Arial" w:cs="Arial"/>
                <w:sz w:val="20"/>
              </w:rPr>
              <w:t xml:space="preserve">Ask the participants to give examples of how the standards are connected.  (If they are unable to immediately think about examples, you may want to give several examples from the Guidance Book or from your own experience in different contexts.)  </w:t>
            </w:r>
          </w:p>
          <w:p w:rsidR="00B14705" w:rsidRDefault="00B14705" w:rsidP="00B14705">
            <w:pPr>
              <w:pStyle w:val="ListParagraph"/>
              <w:rPr>
                <w:rFonts w:ascii="Arial" w:eastAsia="Times New Roman" w:hAnsi="Arial"/>
                <w:b/>
                <w:sz w:val="20"/>
              </w:rPr>
            </w:pPr>
          </w:p>
          <w:p w:rsidR="009811B2" w:rsidRPr="00E201FF" w:rsidRDefault="009811B2" w:rsidP="009811B2">
            <w:pPr>
              <w:rPr>
                <w:rFonts w:ascii="Arial" w:eastAsia="Times New Roman" w:hAnsi="Arial"/>
                <w:sz w:val="20"/>
                <w:u w:val="single"/>
              </w:rPr>
            </w:pPr>
            <w:r w:rsidRPr="00E201FF">
              <w:rPr>
                <w:rFonts w:ascii="Arial" w:eastAsia="Times New Roman" w:hAnsi="Arial"/>
                <w:sz w:val="20"/>
                <w:u w:val="single"/>
              </w:rPr>
              <w:t xml:space="preserve">Examples: </w:t>
            </w:r>
          </w:p>
          <w:p w:rsidR="009811B2" w:rsidRPr="00E34266" w:rsidRDefault="009811B2" w:rsidP="00FC05AC">
            <w:pPr>
              <w:pStyle w:val="ListParagraph"/>
              <w:numPr>
                <w:ilvl w:val="0"/>
                <w:numId w:val="23"/>
              </w:numPr>
              <w:spacing w:before="60" w:line="240" w:lineRule="auto"/>
              <w:ind w:left="505" w:hanging="142"/>
              <w:contextualSpacing w:val="0"/>
              <w:rPr>
                <w:rFonts w:ascii="Arial" w:eastAsia="Times New Roman" w:hAnsi="Arial"/>
                <w:sz w:val="20"/>
              </w:rPr>
            </w:pPr>
            <w:r w:rsidRPr="00E34266">
              <w:rPr>
                <w:rFonts w:ascii="Arial" w:eastAsia="Times New Roman" w:hAnsi="Arial"/>
                <w:sz w:val="20"/>
              </w:rPr>
              <w:t xml:space="preserve">When a new Curriculum or emergency messages are prepared and ready to be introduced at the classroom level, it is imperative that the teachers understand the content and have the skills needed to teach students effectively.  Therefore, </w:t>
            </w:r>
            <w:r w:rsidRPr="00D74F7D">
              <w:rPr>
                <w:rFonts w:ascii="Arial" w:eastAsia="Times New Roman" w:hAnsi="Arial"/>
                <w:b/>
                <w:i/>
                <w:sz w:val="20"/>
              </w:rPr>
              <w:t>training of teachers</w:t>
            </w:r>
            <w:r w:rsidRPr="00E34266">
              <w:rPr>
                <w:rFonts w:ascii="Arial" w:eastAsia="Times New Roman" w:hAnsi="Arial"/>
                <w:sz w:val="20"/>
              </w:rPr>
              <w:t xml:space="preserve"> and their technical and administrative supervisors is needed.  </w:t>
            </w:r>
          </w:p>
          <w:p w:rsidR="009811B2" w:rsidRDefault="009811B2" w:rsidP="00FC05AC">
            <w:pPr>
              <w:pStyle w:val="ListParagraph"/>
              <w:numPr>
                <w:ilvl w:val="0"/>
                <w:numId w:val="23"/>
              </w:numPr>
              <w:spacing w:before="60" w:line="240" w:lineRule="auto"/>
              <w:ind w:left="505" w:hanging="142"/>
              <w:contextualSpacing w:val="0"/>
              <w:rPr>
                <w:rFonts w:ascii="Arial" w:eastAsia="Times New Roman" w:hAnsi="Arial"/>
                <w:sz w:val="20"/>
              </w:rPr>
            </w:pPr>
            <w:r w:rsidRPr="00E34266">
              <w:rPr>
                <w:rFonts w:ascii="Arial" w:eastAsia="Times New Roman" w:hAnsi="Arial"/>
                <w:sz w:val="20"/>
              </w:rPr>
              <w:t xml:space="preserve">When teachers are instructing students in the classroom, they need to understand whether the students understand the material and are able to perform at grade-level.  Therefore, teachers must </w:t>
            </w:r>
            <w:r w:rsidRPr="00D74F7D">
              <w:rPr>
                <w:rFonts w:ascii="Arial" w:eastAsia="Times New Roman" w:hAnsi="Arial"/>
                <w:b/>
                <w:i/>
                <w:sz w:val="20"/>
              </w:rPr>
              <w:t>Assess the Learning Outcomes</w:t>
            </w:r>
            <w:r w:rsidRPr="00E34266">
              <w:rPr>
                <w:rFonts w:ascii="Arial" w:eastAsia="Times New Roman" w:hAnsi="Arial"/>
                <w:sz w:val="20"/>
              </w:rPr>
              <w:t xml:space="preserve"> of students against the Curriculum being taught.  </w:t>
            </w:r>
          </w:p>
          <w:p w:rsidR="00FC05AC" w:rsidRDefault="00FC05AC" w:rsidP="00FC05AC">
            <w:pPr>
              <w:spacing w:before="60" w:line="240" w:lineRule="auto"/>
              <w:ind w:left="363"/>
              <w:rPr>
                <w:rFonts w:ascii="Arial" w:eastAsia="Times New Roman" w:hAnsi="Arial"/>
                <w:sz w:val="20"/>
              </w:rPr>
            </w:pPr>
          </w:p>
          <w:p w:rsidR="009811B2" w:rsidRPr="00E34266" w:rsidRDefault="009811B2" w:rsidP="00FC05AC">
            <w:pPr>
              <w:numPr>
                <w:ilvl w:val="1"/>
                <w:numId w:val="21"/>
              </w:numPr>
              <w:spacing w:before="120" w:line="240" w:lineRule="auto"/>
              <w:ind w:left="357" w:hanging="357"/>
              <w:jc w:val="both"/>
              <w:rPr>
                <w:rFonts w:ascii="Arial" w:eastAsia="Times New Roman" w:hAnsi="Arial"/>
                <w:sz w:val="20"/>
              </w:rPr>
            </w:pPr>
            <w:r w:rsidRPr="00E34266">
              <w:rPr>
                <w:rFonts w:ascii="Arial" w:eastAsia="Times New Roman" w:hAnsi="Arial"/>
                <w:sz w:val="20"/>
              </w:rPr>
              <w:lastRenderedPageBreak/>
              <w:t xml:space="preserve">Conclude by explaining how in applying the “Key Points to Consider” tables for each of the teaching and learning standards, the Guidance Notes can be used to ensure teaching and learning responses are comprehensive, effective and lead to quality education. For more </w:t>
            </w:r>
            <w:r w:rsidRPr="00B14705">
              <w:rPr>
                <w:rFonts w:ascii="Arial" w:hAnsi="Arial" w:cs="Arial"/>
                <w:sz w:val="20"/>
              </w:rPr>
              <w:t>information</w:t>
            </w:r>
            <w:r w:rsidRPr="00E34266">
              <w:rPr>
                <w:rFonts w:ascii="Arial" w:eastAsia="Times New Roman" w:hAnsi="Arial"/>
                <w:sz w:val="20"/>
              </w:rPr>
              <w:t xml:space="preserve"> on this tool visit ineesite.org/</w:t>
            </w:r>
            <w:proofErr w:type="spellStart"/>
            <w:r w:rsidRPr="00E34266">
              <w:rPr>
                <w:rFonts w:ascii="Arial" w:eastAsia="Times New Roman" w:hAnsi="Arial"/>
                <w:sz w:val="20"/>
              </w:rPr>
              <w:t>teachinglearning</w:t>
            </w:r>
            <w:proofErr w:type="spellEnd"/>
          </w:p>
          <w:p w:rsidR="009811B2" w:rsidRDefault="009811B2" w:rsidP="009811B2">
            <w:pPr>
              <w:rPr>
                <w:rFonts w:ascii="Arial" w:eastAsia="Times New Roman" w:hAnsi="Arial"/>
                <w:sz w:val="22"/>
              </w:rPr>
            </w:pPr>
          </w:p>
          <w:p w:rsidR="009811B2" w:rsidRPr="00B80D7E" w:rsidRDefault="009811B2" w:rsidP="009811B2">
            <w:pPr>
              <w:rPr>
                <w:rFonts w:ascii="Arial Bold" w:eastAsia="Times New Roman" w:hAnsi="Arial Bold"/>
                <w:sz w:val="20"/>
              </w:rPr>
            </w:pPr>
            <w:r w:rsidRPr="00B80D7E">
              <w:rPr>
                <w:rFonts w:ascii="Arial Bold" w:eastAsia="Times New Roman" w:hAnsi="Arial Bold"/>
                <w:sz w:val="20"/>
              </w:rPr>
              <w:t>Part 2 (Exercise): Applying the Guidance Notes to a Scenario (Iraq) (40 minutes)</w:t>
            </w:r>
          </w:p>
          <w:p w:rsidR="009811B2" w:rsidRPr="00B10C4D" w:rsidRDefault="009811B2" w:rsidP="009811B2">
            <w:pPr>
              <w:rPr>
                <w:rFonts w:ascii="Arial" w:hAnsi="Arial" w:cs="Arial"/>
                <w:b/>
                <w:sz w:val="21"/>
              </w:rPr>
            </w:pPr>
          </w:p>
          <w:p w:rsidR="009811B2" w:rsidRPr="00906F0C" w:rsidRDefault="009811B2" w:rsidP="009811B2">
            <w:pPr>
              <w:rPr>
                <w:rFonts w:ascii="Arial" w:hAnsi="Arial" w:cs="Arial"/>
                <w:i/>
                <w:sz w:val="20"/>
              </w:rPr>
            </w:pPr>
            <w:r w:rsidRPr="00906F0C">
              <w:rPr>
                <w:rFonts w:ascii="Arial" w:hAnsi="Arial" w:cs="Arial"/>
                <w:i/>
                <w:sz w:val="20"/>
              </w:rPr>
              <w:t>Note: This exercise uses the situation of Iraq, but another scenario can also be used.</w:t>
            </w:r>
          </w:p>
          <w:p w:rsidR="009811B2" w:rsidRPr="002436DA" w:rsidRDefault="009811B2" w:rsidP="009811B2">
            <w:pPr>
              <w:rPr>
                <w:rFonts w:ascii="Arial" w:hAnsi="Arial" w:cs="Arial"/>
                <w:sz w:val="20"/>
              </w:rPr>
            </w:pPr>
          </w:p>
          <w:p w:rsidR="009811B2" w:rsidRPr="001523A7" w:rsidRDefault="009811B2" w:rsidP="009C624E">
            <w:pPr>
              <w:numPr>
                <w:ilvl w:val="1"/>
                <w:numId w:val="22"/>
              </w:numPr>
              <w:spacing w:line="240" w:lineRule="auto"/>
              <w:ind w:hanging="360"/>
              <w:jc w:val="both"/>
              <w:rPr>
                <w:rFonts w:ascii="Arial" w:hAnsi="Arial" w:cs="Arial"/>
                <w:sz w:val="20"/>
              </w:rPr>
            </w:pPr>
            <w:r w:rsidRPr="001523A7">
              <w:rPr>
                <w:rFonts w:ascii="Arial" w:hAnsi="Arial" w:cs="Arial"/>
                <w:sz w:val="20"/>
              </w:rPr>
              <w:t xml:space="preserve">Split participants into 4 groups.  If there are more than 25 people, you might </w:t>
            </w:r>
            <w:r w:rsidRPr="00B14705">
              <w:rPr>
                <w:rFonts w:ascii="Arial" w:eastAsia="Times New Roman" w:hAnsi="Arial"/>
                <w:sz w:val="20"/>
              </w:rPr>
              <w:t>consider</w:t>
            </w:r>
            <w:r w:rsidRPr="001523A7">
              <w:rPr>
                <w:rFonts w:ascii="Arial" w:hAnsi="Arial" w:cs="Arial"/>
                <w:sz w:val="20"/>
              </w:rPr>
              <w:t xml:space="preserve"> giving 2 teams the same standard.</w:t>
            </w:r>
          </w:p>
          <w:p w:rsidR="009811B2" w:rsidRPr="001523A7" w:rsidRDefault="009811B2" w:rsidP="009811B2">
            <w:pPr>
              <w:rPr>
                <w:rFonts w:ascii="Arial" w:hAnsi="Arial" w:cs="Arial"/>
                <w:sz w:val="20"/>
              </w:rPr>
            </w:pPr>
          </w:p>
          <w:p w:rsidR="009811B2" w:rsidRPr="00B14705" w:rsidRDefault="009811B2" w:rsidP="009C624E">
            <w:pPr>
              <w:numPr>
                <w:ilvl w:val="1"/>
                <w:numId w:val="22"/>
              </w:numPr>
              <w:spacing w:line="240" w:lineRule="auto"/>
              <w:ind w:hanging="360"/>
              <w:jc w:val="both"/>
              <w:rPr>
                <w:rFonts w:ascii="Arial" w:hAnsi="Arial" w:cs="Arial"/>
                <w:sz w:val="20"/>
                <w:szCs w:val="20"/>
              </w:rPr>
            </w:pPr>
            <w:r w:rsidRPr="00B14705">
              <w:rPr>
                <w:rFonts w:ascii="Arial" w:hAnsi="Arial" w:cs="Arial"/>
                <w:sz w:val="20"/>
                <w:szCs w:val="20"/>
              </w:rPr>
              <w:t xml:space="preserve">Assign each group one of the four standards in Teaching and Learning: 1) Curricula; 2) Training, Professional Development and Support; 3) Instruction and Learning Processes; 4) Assessment of Learning Outcomes. </w:t>
            </w:r>
          </w:p>
          <w:p w:rsidR="009811B2" w:rsidRPr="001523A7" w:rsidRDefault="009811B2" w:rsidP="009811B2">
            <w:pPr>
              <w:ind w:left="360"/>
              <w:rPr>
                <w:rFonts w:ascii="Arial" w:hAnsi="Arial" w:cs="Arial"/>
                <w:sz w:val="20"/>
              </w:rPr>
            </w:pPr>
          </w:p>
          <w:p w:rsidR="009811B2" w:rsidRPr="001523A7" w:rsidRDefault="009811B2" w:rsidP="009C624E">
            <w:pPr>
              <w:numPr>
                <w:ilvl w:val="1"/>
                <w:numId w:val="22"/>
              </w:numPr>
              <w:spacing w:line="240" w:lineRule="auto"/>
              <w:ind w:hanging="360"/>
              <w:jc w:val="both"/>
              <w:rPr>
                <w:rFonts w:ascii="Arial" w:hAnsi="Arial" w:cs="Arial"/>
                <w:sz w:val="20"/>
              </w:rPr>
            </w:pPr>
            <w:r w:rsidRPr="001523A7">
              <w:rPr>
                <w:rFonts w:ascii="Arial" w:hAnsi="Arial" w:cs="Arial"/>
                <w:sz w:val="20"/>
              </w:rPr>
              <w:t xml:space="preserve">Present the scenario </w:t>
            </w:r>
            <w:r w:rsidRPr="009E3529">
              <w:rPr>
                <w:rFonts w:ascii="Arial" w:hAnsi="Arial" w:cs="Arial"/>
                <w:b/>
                <w:sz w:val="20"/>
              </w:rPr>
              <w:t xml:space="preserve">(Handout </w:t>
            </w:r>
            <w:r w:rsidR="0075799A">
              <w:rPr>
                <w:rFonts w:ascii="Arial" w:hAnsi="Arial" w:cs="Arial"/>
                <w:b/>
                <w:sz w:val="20"/>
              </w:rPr>
              <w:t>2.6</w:t>
            </w:r>
            <w:r w:rsidRPr="009E3529">
              <w:rPr>
                <w:rFonts w:ascii="Arial" w:hAnsi="Arial" w:cs="Arial"/>
                <w:b/>
                <w:sz w:val="20"/>
              </w:rPr>
              <w:t>),</w:t>
            </w:r>
            <w:r w:rsidRPr="001523A7">
              <w:rPr>
                <w:rFonts w:ascii="Arial" w:hAnsi="Arial" w:cs="Arial"/>
                <w:sz w:val="20"/>
              </w:rPr>
              <w:t xml:space="preserve"> highlighting key issues and ask participants to also think of what they already know about the specific context.   </w:t>
            </w:r>
          </w:p>
          <w:p w:rsidR="009811B2" w:rsidRPr="001523A7" w:rsidRDefault="009811B2" w:rsidP="009811B2">
            <w:pPr>
              <w:rPr>
                <w:rFonts w:ascii="Arial" w:hAnsi="Arial" w:cs="Arial"/>
                <w:sz w:val="20"/>
              </w:rPr>
            </w:pPr>
          </w:p>
          <w:p w:rsidR="009811B2" w:rsidRPr="001523A7" w:rsidRDefault="009811B2" w:rsidP="009C624E">
            <w:pPr>
              <w:numPr>
                <w:ilvl w:val="1"/>
                <w:numId w:val="22"/>
              </w:numPr>
              <w:spacing w:line="240" w:lineRule="auto"/>
              <w:ind w:hanging="360"/>
              <w:jc w:val="both"/>
              <w:rPr>
                <w:rFonts w:ascii="Arial" w:hAnsi="Arial" w:cs="Arial"/>
                <w:sz w:val="20"/>
              </w:rPr>
            </w:pPr>
            <w:r w:rsidRPr="001523A7">
              <w:rPr>
                <w:rFonts w:ascii="Arial" w:hAnsi="Arial" w:cs="Arial"/>
                <w:sz w:val="20"/>
              </w:rPr>
              <w:t xml:space="preserve">Ask each group to take </w:t>
            </w:r>
            <w:r w:rsidRPr="008A7E35">
              <w:rPr>
                <w:rFonts w:ascii="Arial" w:hAnsi="Arial" w:cs="Arial"/>
                <w:b/>
                <w:i/>
                <w:sz w:val="20"/>
              </w:rPr>
              <w:t>20 minutes</w:t>
            </w:r>
            <w:r w:rsidRPr="001523A7">
              <w:rPr>
                <w:rFonts w:ascii="Arial" w:hAnsi="Arial" w:cs="Arial"/>
                <w:sz w:val="20"/>
              </w:rPr>
              <w:t xml:space="preserve"> to review the “Key Points to Consider” tables in their section and consider the following questions:</w:t>
            </w:r>
          </w:p>
          <w:p w:rsidR="009811B2" w:rsidRPr="001523A7" w:rsidRDefault="009811B2" w:rsidP="009C624E">
            <w:pPr>
              <w:pStyle w:val="ListParagraph"/>
              <w:numPr>
                <w:ilvl w:val="1"/>
                <w:numId w:val="19"/>
              </w:numPr>
              <w:spacing w:before="40" w:line="240" w:lineRule="auto"/>
              <w:ind w:left="771" w:hanging="357"/>
              <w:contextualSpacing w:val="0"/>
              <w:rPr>
                <w:rFonts w:ascii="Arial" w:hAnsi="Arial" w:cs="Arial"/>
                <w:sz w:val="20"/>
              </w:rPr>
            </w:pPr>
            <w:r w:rsidRPr="001523A7">
              <w:rPr>
                <w:rFonts w:ascii="Arial" w:hAnsi="Arial"/>
                <w:sz w:val="20"/>
              </w:rPr>
              <w:t xml:space="preserve">How would you proceed to assess the scenario as it relates to this particular Teaching and Learning Standard?  What stakeholders would be involved, in what way, and when? </w:t>
            </w:r>
          </w:p>
          <w:p w:rsidR="009811B2" w:rsidRPr="001523A7" w:rsidRDefault="009811B2" w:rsidP="009C624E">
            <w:pPr>
              <w:pStyle w:val="ListParagraph"/>
              <w:numPr>
                <w:ilvl w:val="1"/>
                <w:numId w:val="19"/>
              </w:numPr>
              <w:spacing w:before="40" w:line="240" w:lineRule="auto"/>
              <w:ind w:left="771" w:hanging="357"/>
              <w:contextualSpacing w:val="0"/>
              <w:rPr>
                <w:rFonts w:ascii="Arial" w:hAnsi="Arial" w:cs="Arial"/>
                <w:sz w:val="20"/>
              </w:rPr>
            </w:pPr>
            <w:r w:rsidRPr="001523A7">
              <w:rPr>
                <w:rFonts w:ascii="Arial" w:hAnsi="Arial"/>
                <w:sz w:val="20"/>
              </w:rPr>
              <w:t>Given your understanding of the scenario, which of the key points to consider (questions in the tables) are most important to address?</w:t>
            </w:r>
          </w:p>
          <w:p w:rsidR="009811B2" w:rsidRPr="001523A7" w:rsidRDefault="009811B2" w:rsidP="009C624E">
            <w:pPr>
              <w:pStyle w:val="ListParagraph"/>
              <w:numPr>
                <w:ilvl w:val="1"/>
                <w:numId w:val="19"/>
              </w:numPr>
              <w:spacing w:before="40" w:line="240" w:lineRule="auto"/>
              <w:ind w:left="771" w:hanging="357"/>
              <w:contextualSpacing w:val="0"/>
              <w:rPr>
                <w:rFonts w:ascii="Arial" w:hAnsi="Arial" w:cs="Arial"/>
                <w:sz w:val="20"/>
              </w:rPr>
            </w:pPr>
            <w:r w:rsidRPr="001523A7">
              <w:rPr>
                <w:rFonts w:ascii="Arial" w:hAnsi="Arial"/>
                <w:sz w:val="20"/>
              </w:rPr>
              <w:t xml:space="preserve">Which key thematic issues are especially critical to address in this standard? </w:t>
            </w:r>
          </w:p>
          <w:p w:rsidR="009811B2" w:rsidRPr="001523A7" w:rsidRDefault="009811B2" w:rsidP="009811B2">
            <w:pPr>
              <w:pStyle w:val="ListParagraph"/>
              <w:ind w:left="1080"/>
              <w:rPr>
                <w:rFonts w:ascii="Arial" w:hAnsi="Arial" w:cs="Arial"/>
                <w:sz w:val="20"/>
              </w:rPr>
            </w:pPr>
          </w:p>
          <w:p w:rsidR="009811B2" w:rsidRPr="001523A7" w:rsidRDefault="009811B2" w:rsidP="009C624E">
            <w:pPr>
              <w:numPr>
                <w:ilvl w:val="1"/>
                <w:numId w:val="22"/>
              </w:numPr>
              <w:spacing w:line="240" w:lineRule="auto"/>
              <w:ind w:hanging="360"/>
              <w:jc w:val="both"/>
              <w:rPr>
                <w:rFonts w:ascii="Arial" w:hAnsi="Arial" w:cs="Arial"/>
                <w:sz w:val="20"/>
              </w:rPr>
            </w:pPr>
            <w:r w:rsidRPr="001523A7">
              <w:rPr>
                <w:rFonts w:ascii="Arial" w:hAnsi="Arial" w:cs="Arial"/>
                <w:sz w:val="20"/>
              </w:rPr>
              <w:t xml:space="preserve">In plenary, ask </w:t>
            </w:r>
            <w:proofErr w:type="gramStart"/>
            <w:r w:rsidRPr="001523A7">
              <w:rPr>
                <w:rFonts w:ascii="Arial" w:hAnsi="Arial" w:cs="Arial"/>
                <w:sz w:val="20"/>
              </w:rPr>
              <w:t>What</w:t>
            </w:r>
            <w:proofErr w:type="gramEnd"/>
            <w:r w:rsidRPr="001523A7">
              <w:rPr>
                <w:rFonts w:ascii="Arial" w:hAnsi="Arial" w:cs="Arial"/>
                <w:sz w:val="20"/>
              </w:rPr>
              <w:t xml:space="preserve"> were some of the key points discussed in groups?  How were they able to use the Guidance Notes to focus their discussions?</w:t>
            </w:r>
          </w:p>
          <w:p w:rsidR="009811B2" w:rsidRPr="00B10C4D" w:rsidRDefault="009811B2" w:rsidP="009811B2">
            <w:pPr>
              <w:pStyle w:val="ListParagraph"/>
              <w:ind w:left="0"/>
              <w:rPr>
                <w:rFonts w:ascii="Arial" w:hAnsi="Arial" w:cs="Arial"/>
                <w:sz w:val="22"/>
              </w:rPr>
            </w:pPr>
          </w:p>
          <w:p w:rsidR="009811B2" w:rsidRPr="005C76AE" w:rsidRDefault="009811B2" w:rsidP="009C624E">
            <w:pPr>
              <w:numPr>
                <w:ilvl w:val="1"/>
                <w:numId w:val="22"/>
              </w:numPr>
              <w:spacing w:line="240" w:lineRule="auto"/>
              <w:ind w:hanging="360"/>
              <w:jc w:val="both"/>
              <w:rPr>
                <w:rFonts w:ascii="Arial" w:eastAsia="Times New Roman" w:hAnsi="Arial"/>
                <w:sz w:val="20"/>
              </w:rPr>
            </w:pPr>
            <w:r w:rsidRPr="005C76AE">
              <w:rPr>
                <w:rFonts w:ascii="Arial" w:eastAsia="Times New Roman" w:hAnsi="Arial"/>
                <w:sz w:val="20"/>
              </w:rPr>
              <w:t xml:space="preserve">Conclude by explaining how in applying the “Key Points to Consider” tables for each of the teaching and learning standards, the Guidance Notes can be </w:t>
            </w:r>
            <w:r w:rsidRPr="00B14705">
              <w:rPr>
                <w:rFonts w:ascii="Arial" w:hAnsi="Arial" w:cs="Arial"/>
                <w:sz w:val="20"/>
              </w:rPr>
              <w:t>used</w:t>
            </w:r>
            <w:r w:rsidRPr="005C76AE">
              <w:rPr>
                <w:rFonts w:ascii="Arial" w:eastAsia="Times New Roman" w:hAnsi="Arial"/>
                <w:sz w:val="20"/>
              </w:rPr>
              <w:t xml:space="preserve"> to ensure teaching and learning responses are comprehensive, effective and lead to quality education. For more information on this tool visit ineesite.org/</w:t>
            </w:r>
            <w:proofErr w:type="spellStart"/>
            <w:r w:rsidRPr="005C76AE">
              <w:rPr>
                <w:rFonts w:ascii="Arial" w:eastAsia="Times New Roman" w:hAnsi="Arial"/>
                <w:sz w:val="20"/>
              </w:rPr>
              <w:t>teachinglearning</w:t>
            </w:r>
            <w:proofErr w:type="spellEnd"/>
            <w:r>
              <w:rPr>
                <w:rFonts w:ascii="Arial" w:eastAsia="Times New Roman" w:hAnsi="Arial"/>
                <w:sz w:val="20"/>
              </w:rPr>
              <w:t xml:space="preserve"> </w:t>
            </w:r>
          </w:p>
          <w:p w:rsidR="009811B2" w:rsidRPr="00816AA3" w:rsidRDefault="009811B2" w:rsidP="009811B2">
            <w:pPr>
              <w:rPr>
                <w:rFonts w:ascii="Arial Bold" w:eastAsia="Times New Roman" w:hAnsi="Arial Bold"/>
                <w:sz w:val="22"/>
              </w:rPr>
            </w:pPr>
          </w:p>
          <w:p w:rsidR="009811B2" w:rsidRPr="009811B2" w:rsidRDefault="009811B2" w:rsidP="009811B2">
            <w:pPr>
              <w:tabs>
                <w:tab w:val="left" w:pos="360"/>
              </w:tabs>
              <w:spacing w:line="240" w:lineRule="auto"/>
              <w:jc w:val="both"/>
              <w:rPr>
                <w:rFonts w:ascii="ArialMS" w:hAnsi="ArialMS" w:cs="ArialMS"/>
                <w:szCs w:val="22"/>
                <w:lang w:eastAsia="en-GB"/>
              </w:rPr>
            </w:pPr>
          </w:p>
        </w:tc>
      </w:tr>
    </w:tbl>
    <w:p w:rsidR="00A04181" w:rsidRDefault="00A04181" w:rsidP="002B03E6">
      <w:pPr>
        <w:spacing w:after="200"/>
        <w:rPr>
          <w:rFonts w:ascii="Arial" w:hAnsi="Arial" w:cs="Arial"/>
          <w:sz w:val="20"/>
          <w:szCs w:val="20"/>
        </w:rPr>
      </w:pPr>
    </w:p>
    <w:p w:rsidR="00B02E6D" w:rsidRDefault="00B02E6D">
      <w:pPr>
        <w:spacing w:after="200"/>
        <w:rPr>
          <w:rFonts w:ascii="Arial" w:hAnsi="Arial" w:cs="Arial"/>
          <w:sz w:val="20"/>
          <w:szCs w:val="20"/>
        </w:rPr>
      </w:pPr>
    </w:p>
    <w:p w:rsidR="00B02E6D" w:rsidRPr="008D301B" w:rsidRDefault="00E25D14" w:rsidP="00B02E6D">
      <w:pPr>
        <w:pageBreakBefore/>
        <w:pBdr>
          <w:top w:val="single" w:sz="4" w:space="1" w:color="auto"/>
          <w:left w:val="single" w:sz="4" w:space="4" w:color="auto"/>
          <w:bottom w:val="single" w:sz="4" w:space="1" w:color="auto"/>
          <w:right w:val="single" w:sz="4" w:space="4" w:color="auto"/>
        </w:pBdr>
        <w:tabs>
          <w:tab w:val="left" w:pos="4320"/>
        </w:tabs>
        <w:jc w:val="center"/>
        <w:rPr>
          <w:rFonts w:ascii="Arial" w:hAnsi="Arial" w:cs="Arial"/>
          <w:b/>
          <w:sz w:val="22"/>
          <w:szCs w:val="22"/>
        </w:rPr>
      </w:pPr>
      <w:r>
        <w:rPr>
          <w:rFonts w:ascii="Arial" w:hAnsi="Arial" w:cs="Arial"/>
          <w:b/>
          <w:sz w:val="22"/>
          <w:szCs w:val="22"/>
        </w:rPr>
        <w:lastRenderedPageBreak/>
        <w:t>Handout</w:t>
      </w:r>
      <w:r w:rsidR="00B02E6D">
        <w:rPr>
          <w:rFonts w:ascii="Arial" w:hAnsi="Arial" w:cs="Arial"/>
          <w:b/>
          <w:sz w:val="22"/>
          <w:szCs w:val="22"/>
        </w:rPr>
        <w:t xml:space="preserve"> 2.1</w:t>
      </w:r>
      <w:r w:rsidR="00B02E6D" w:rsidRPr="008D301B">
        <w:rPr>
          <w:rFonts w:ascii="Arial" w:hAnsi="Arial" w:cs="Arial"/>
          <w:b/>
          <w:sz w:val="22"/>
          <w:szCs w:val="22"/>
        </w:rPr>
        <w:t xml:space="preserve"> </w:t>
      </w:r>
      <w:r w:rsidR="00B02E6D">
        <w:rPr>
          <w:rFonts w:ascii="Arial" w:hAnsi="Arial" w:cs="Arial"/>
          <w:b/>
          <w:sz w:val="22"/>
          <w:szCs w:val="22"/>
        </w:rPr>
        <w:t>–</w:t>
      </w:r>
      <w:r w:rsidR="00B02E6D" w:rsidRPr="008D301B">
        <w:rPr>
          <w:rFonts w:ascii="Arial" w:hAnsi="Arial" w:cs="Arial"/>
          <w:b/>
          <w:sz w:val="22"/>
          <w:szCs w:val="22"/>
        </w:rPr>
        <w:t xml:space="preserve"> </w:t>
      </w:r>
      <w:r w:rsidR="00B02E6D" w:rsidRPr="00B02E6D">
        <w:rPr>
          <w:rFonts w:ascii="Arial" w:hAnsi="Arial" w:cs="Arial"/>
          <w:b/>
          <w:sz w:val="22"/>
          <w:szCs w:val="22"/>
        </w:rPr>
        <w:t>Minimum Standards for Education</w:t>
      </w:r>
      <w:r>
        <w:rPr>
          <w:rFonts w:ascii="Arial" w:hAnsi="Arial" w:cs="Arial"/>
          <w:b/>
          <w:sz w:val="22"/>
          <w:szCs w:val="22"/>
        </w:rPr>
        <w:t xml:space="preserve"> -</w:t>
      </w:r>
      <w:r w:rsidR="00B02E6D" w:rsidRPr="00B02E6D">
        <w:rPr>
          <w:rFonts w:ascii="Arial" w:hAnsi="Arial" w:cs="Arial"/>
          <w:b/>
          <w:sz w:val="22"/>
          <w:szCs w:val="22"/>
        </w:rPr>
        <w:t xml:space="preserve"> Summary</w:t>
      </w:r>
    </w:p>
    <w:p w:rsidR="00B02E6D" w:rsidRDefault="00B02E6D" w:rsidP="00B02E6D">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428"/>
        <w:gridCol w:w="4428"/>
      </w:tblGrid>
      <w:tr w:rsidR="00B02E6D" w:rsidTr="00380DCA">
        <w:tc>
          <w:tcPr>
            <w:tcW w:w="8856" w:type="dxa"/>
            <w:gridSpan w:val="2"/>
            <w:shd w:val="clear" w:color="auto" w:fill="00CCFF"/>
          </w:tcPr>
          <w:p w:rsidR="00B02E6D" w:rsidRPr="00856D16" w:rsidRDefault="00B02E6D" w:rsidP="00380DCA">
            <w:pPr>
              <w:jc w:val="center"/>
              <w:rPr>
                <w:b/>
              </w:rPr>
            </w:pPr>
            <w:r w:rsidRPr="00856D16">
              <w:rPr>
                <w:b/>
              </w:rPr>
              <w:t>Foundational Standards: Community Participation, Coordination, Analysis</w:t>
            </w:r>
          </w:p>
          <w:p w:rsidR="00B02E6D" w:rsidRPr="00856D16" w:rsidRDefault="00B02E6D" w:rsidP="00380DCA">
            <w:pPr>
              <w:jc w:val="center"/>
              <w:rPr>
                <w:b/>
                <w:sz w:val="20"/>
              </w:rPr>
            </w:pPr>
          </w:p>
        </w:tc>
      </w:tr>
      <w:tr w:rsidR="00B02E6D" w:rsidTr="00380DCA">
        <w:tc>
          <w:tcPr>
            <w:tcW w:w="8856" w:type="dxa"/>
            <w:gridSpan w:val="2"/>
          </w:tcPr>
          <w:p w:rsidR="00B02E6D" w:rsidRPr="00856D16" w:rsidRDefault="00B02E6D" w:rsidP="00380DCA">
            <w:pPr>
              <w:rPr>
                <w:sz w:val="20"/>
              </w:rPr>
            </w:pPr>
            <w:r w:rsidRPr="00856D16">
              <w:rPr>
                <w:b/>
                <w:sz w:val="20"/>
                <w:u w:val="single"/>
              </w:rPr>
              <w:t>Community Participation Standard 1: Participation</w:t>
            </w:r>
            <w:r w:rsidRPr="00856D16">
              <w:rPr>
                <w:sz w:val="20"/>
              </w:rPr>
              <w:t xml:space="preserve"> Community members participate actively, transparently, and without discrimination in analysis, planning, design, implementation, monitoring and evaluation of education responses.</w:t>
            </w:r>
          </w:p>
          <w:p w:rsidR="00B02E6D" w:rsidRPr="00856D16" w:rsidRDefault="00B02E6D" w:rsidP="00380DCA">
            <w:pPr>
              <w:rPr>
                <w:sz w:val="20"/>
              </w:rPr>
            </w:pPr>
            <w:r w:rsidRPr="00856D16">
              <w:rPr>
                <w:b/>
                <w:sz w:val="20"/>
                <w:u w:val="single"/>
              </w:rPr>
              <w:t>Community Participation Standard 2: Resources</w:t>
            </w:r>
            <w:r w:rsidRPr="00856D16">
              <w:rPr>
                <w:sz w:val="20"/>
              </w:rPr>
              <w:t xml:space="preserve"> Community resources are identified, mobilised and used to implement age-appropriate learning opportunities.</w:t>
            </w:r>
            <w:r w:rsidRPr="00856D16">
              <w:rPr>
                <w:sz w:val="20"/>
              </w:rPr>
              <w:tab/>
            </w:r>
          </w:p>
          <w:p w:rsidR="00B02E6D" w:rsidRPr="00856D16" w:rsidRDefault="00B02E6D" w:rsidP="00380DCA">
            <w:pPr>
              <w:rPr>
                <w:b/>
                <w:sz w:val="20"/>
              </w:rPr>
            </w:pPr>
          </w:p>
          <w:p w:rsidR="00B02E6D" w:rsidRPr="00856D16" w:rsidRDefault="00B02E6D" w:rsidP="00380DCA">
            <w:pPr>
              <w:rPr>
                <w:sz w:val="20"/>
              </w:rPr>
            </w:pPr>
            <w:r w:rsidRPr="00856D16">
              <w:rPr>
                <w:b/>
                <w:sz w:val="20"/>
                <w:u w:val="single"/>
              </w:rPr>
              <w:t>Coordination Standard 1: Coordination</w:t>
            </w:r>
            <w:r w:rsidRPr="00856D16">
              <w:rPr>
                <w:sz w:val="20"/>
              </w:rPr>
              <w:t xml:space="preserve"> </w:t>
            </w:r>
            <w:proofErr w:type="spellStart"/>
            <w:r w:rsidRPr="00856D16">
              <w:rPr>
                <w:sz w:val="20"/>
              </w:rPr>
              <w:t>Coordination</w:t>
            </w:r>
            <w:proofErr w:type="spellEnd"/>
            <w:r w:rsidRPr="00856D16">
              <w:rPr>
                <w:sz w:val="20"/>
              </w:rPr>
              <w:t xml:space="preserve"> mechanisms for education are in place and support stakeholders working to ensure access to and continuity of quality education.</w:t>
            </w:r>
          </w:p>
          <w:p w:rsidR="00B02E6D" w:rsidRPr="00856D16" w:rsidRDefault="00B02E6D" w:rsidP="00380DCA">
            <w:pPr>
              <w:rPr>
                <w:sz w:val="20"/>
              </w:rPr>
            </w:pPr>
          </w:p>
          <w:p w:rsidR="00B02E6D" w:rsidRPr="00856D16" w:rsidRDefault="00B02E6D" w:rsidP="00380DCA">
            <w:pPr>
              <w:rPr>
                <w:sz w:val="20"/>
              </w:rPr>
            </w:pPr>
            <w:r w:rsidRPr="00856D16">
              <w:rPr>
                <w:b/>
                <w:sz w:val="20"/>
                <w:u w:val="single"/>
              </w:rPr>
              <w:t>Analysis Standard 1: Assessment</w:t>
            </w:r>
            <w:r w:rsidRPr="00856D16">
              <w:rPr>
                <w:sz w:val="20"/>
              </w:rPr>
              <w:t xml:space="preserve"> Timely education assessments of the emergency situation are conducted in a holistic, transparent and participatory manner.</w:t>
            </w:r>
          </w:p>
          <w:p w:rsidR="00B02E6D" w:rsidRPr="00856D16" w:rsidRDefault="00B02E6D" w:rsidP="00380DCA">
            <w:pPr>
              <w:rPr>
                <w:sz w:val="20"/>
              </w:rPr>
            </w:pPr>
            <w:r w:rsidRPr="00856D16">
              <w:rPr>
                <w:b/>
                <w:sz w:val="20"/>
                <w:u w:val="single"/>
              </w:rPr>
              <w:t>Analysis Standard 2: Response Strategies</w:t>
            </w:r>
            <w:r w:rsidRPr="00856D16">
              <w:rPr>
                <w:sz w:val="20"/>
              </w:rPr>
              <w:t xml:space="preserve"> Inclusive education response strategies include a clear description of the context, barriers to the right to education and strategies to overcome those barriers.</w:t>
            </w:r>
          </w:p>
          <w:p w:rsidR="00B02E6D" w:rsidRPr="00856D16" w:rsidRDefault="00B02E6D" w:rsidP="00380DCA">
            <w:pPr>
              <w:rPr>
                <w:sz w:val="20"/>
              </w:rPr>
            </w:pPr>
            <w:r w:rsidRPr="00856D16">
              <w:rPr>
                <w:b/>
                <w:sz w:val="20"/>
                <w:u w:val="single"/>
              </w:rPr>
              <w:t>Analysis Standard 3: Monitoring</w:t>
            </w:r>
            <w:r w:rsidRPr="00856D16">
              <w:rPr>
                <w:sz w:val="20"/>
              </w:rPr>
              <w:t xml:space="preserve"> Regular monitoring of education response activities and the evolving learning needs of the affected population is carried out.</w:t>
            </w:r>
          </w:p>
          <w:p w:rsidR="00B02E6D" w:rsidRDefault="00B02E6D" w:rsidP="00380DCA">
            <w:r w:rsidRPr="00856D16">
              <w:rPr>
                <w:b/>
                <w:sz w:val="20"/>
                <w:u w:val="single"/>
              </w:rPr>
              <w:t>Analysis Standard 4: Evaluation</w:t>
            </w:r>
            <w:r w:rsidRPr="00856D16">
              <w:rPr>
                <w:sz w:val="20"/>
              </w:rPr>
              <w:t xml:space="preserve"> Systematic and impartial evaluations improve education response activities and enhance accountability.</w:t>
            </w:r>
          </w:p>
        </w:tc>
      </w:tr>
      <w:tr w:rsidR="00B02E6D" w:rsidTr="00380DCA">
        <w:tc>
          <w:tcPr>
            <w:tcW w:w="4428" w:type="dxa"/>
            <w:shd w:val="clear" w:color="auto" w:fill="00CCFF"/>
          </w:tcPr>
          <w:p w:rsidR="00B02E6D" w:rsidRPr="00856D16" w:rsidRDefault="00B02E6D" w:rsidP="00380DCA">
            <w:pPr>
              <w:jc w:val="center"/>
              <w:rPr>
                <w:b/>
              </w:rPr>
            </w:pPr>
            <w:r w:rsidRPr="00856D16">
              <w:rPr>
                <w:b/>
              </w:rPr>
              <w:t>Domain: Access and Learning Environment</w:t>
            </w:r>
          </w:p>
        </w:tc>
        <w:tc>
          <w:tcPr>
            <w:tcW w:w="4428" w:type="dxa"/>
            <w:shd w:val="clear" w:color="auto" w:fill="00CCFF"/>
          </w:tcPr>
          <w:p w:rsidR="00B02E6D" w:rsidRPr="00856D16" w:rsidRDefault="00B02E6D" w:rsidP="00380DCA">
            <w:pPr>
              <w:jc w:val="center"/>
              <w:rPr>
                <w:b/>
              </w:rPr>
            </w:pPr>
            <w:r w:rsidRPr="00856D16">
              <w:rPr>
                <w:b/>
              </w:rPr>
              <w:t>Domain: Teaching and Learning</w:t>
            </w:r>
          </w:p>
          <w:p w:rsidR="00B02E6D" w:rsidRPr="00856D16" w:rsidRDefault="00B02E6D" w:rsidP="00380DCA">
            <w:pPr>
              <w:rPr>
                <w:b/>
              </w:rPr>
            </w:pPr>
          </w:p>
        </w:tc>
      </w:tr>
      <w:tr w:rsidR="00B02E6D" w:rsidTr="00380DCA">
        <w:tc>
          <w:tcPr>
            <w:tcW w:w="4428" w:type="dxa"/>
            <w:tcBorders>
              <w:bottom w:val="single" w:sz="4" w:space="0" w:color="auto"/>
            </w:tcBorders>
          </w:tcPr>
          <w:p w:rsidR="00B02E6D" w:rsidRPr="00856D16" w:rsidRDefault="00B02E6D" w:rsidP="00380DCA">
            <w:pPr>
              <w:rPr>
                <w:sz w:val="20"/>
              </w:rPr>
            </w:pPr>
            <w:r w:rsidRPr="00856D16">
              <w:rPr>
                <w:b/>
                <w:sz w:val="20"/>
                <w:u w:val="single"/>
              </w:rPr>
              <w:t>Standard 1: Equal Access</w:t>
            </w:r>
            <w:r w:rsidRPr="00856D16">
              <w:rPr>
                <w:sz w:val="20"/>
              </w:rPr>
              <w:t xml:space="preserve"> All individuals have access to quality and relevant education opportunities.</w:t>
            </w:r>
          </w:p>
          <w:p w:rsidR="00B02E6D" w:rsidRPr="00856D16" w:rsidRDefault="00B02E6D" w:rsidP="00380DCA">
            <w:pPr>
              <w:rPr>
                <w:sz w:val="20"/>
                <w:u w:val="single"/>
              </w:rPr>
            </w:pPr>
            <w:r w:rsidRPr="00856D16">
              <w:rPr>
                <w:b/>
                <w:sz w:val="20"/>
                <w:u w:val="single"/>
              </w:rPr>
              <w:t>Standard 2: Protection and Well-being</w:t>
            </w:r>
            <w:r w:rsidRPr="00856D16">
              <w:rPr>
                <w:sz w:val="20"/>
              </w:rPr>
              <w:t xml:space="preserve"> Learning environments are secure and safe, and promote the psychosocial well-being of learners, teachers and other education personnel.</w:t>
            </w:r>
          </w:p>
          <w:p w:rsidR="00B02E6D" w:rsidRDefault="00B02E6D" w:rsidP="00380DCA">
            <w:r w:rsidRPr="00856D16">
              <w:rPr>
                <w:b/>
                <w:sz w:val="20"/>
                <w:u w:val="single"/>
              </w:rPr>
              <w:t>Standard 3: Facilities and Services</w:t>
            </w:r>
            <w:r w:rsidRPr="00856D16">
              <w:rPr>
                <w:sz w:val="20"/>
              </w:rPr>
              <w:t xml:space="preserve"> Education facilities promote the safety and well-being of learners, teachers and other education personnel and are linked to health, nutrition, psychosocial and protection services.</w:t>
            </w:r>
          </w:p>
        </w:tc>
        <w:tc>
          <w:tcPr>
            <w:tcW w:w="4428" w:type="dxa"/>
            <w:tcBorders>
              <w:bottom w:val="single" w:sz="4" w:space="0" w:color="auto"/>
            </w:tcBorders>
          </w:tcPr>
          <w:p w:rsidR="00B02E6D" w:rsidRPr="00856D16" w:rsidRDefault="00B02E6D" w:rsidP="00380DCA">
            <w:pPr>
              <w:rPr>
                <w:sz w:val="20"/>
              </w:rPr>
            </w:pPr>
            <w:r w:rsidRPr="00856D16">
              <w:rPr>
                <w:b/>
                <w:sz w:val="20"/>
                <w:u w:val="single"/>
              </w:rPr>
              <w:t>Standard 1: Curricula</w:t>
            </w:r>
            <w:r w:rsidRPr="00856D16">
              <w:rPr>
                <w:sz w:val="20"/>
              </w:rPr>
              <w:t xml:space="preserve"> Culturally, socially and linguistically relevant curricula are used to provide formal and non-formal education, appropriate to the particular context and needs of learners.</w:t>
            </w:r>
          </w:p>
          <w:p w:rsidR="00B02E6D" w:rsidRPr="00856D16" w:rsidRDefault="00B02E6D" w:rsidP="00380DCA">
            <w:pPr>
              <w:rPr>
                <w:sz w:val="20"/>
                <w:u w:val="single"/>
              </w:rPr>
            </w:pPr>
            <w:r w:rsidRPr="00856D16">
              <w:rPr>
                <w:b/>
                <w:sz w:val="20"/>
                <w:u w:val="single"/>
              </w:rPr>
              <w:t>Standard 2: Training, Professional Development and Support</w:t>
            </w:r>
            <w:r w:rsidRPr="00856D16">
              <w:rPr>
                <w:sz w:val="20"/>
              </w:rPr>
              <w:t xml:space="preserve"> Teachers and other education personnel receive periodic, relevant and structured training according to needs and circumstances.</w:t>
            </w:r>
          </w:p>
          <w:p w:rsidR="00B02E6D" w:rsidRPr="00856D16" w:rsidRDefault="00B02E6D" w:rsidP="00380DCA">
            <w:pPr>
              <w:rPr>
                <w:sz w:val="20"/>
              </w:rPr>
            </w:pPr>
            <w:r w:rsidRPr="00856D16">
              <w:rPr>
                <w:b/>
                <w:sz w:val="20"/>
                <w:u w:val="single"/>
              </w:rPr>
              <w:t>Standard 3: Instruction and Learning Processes</w:t>
            </w:r>
            <w:r w:rsidRPr="00856D16">
              <w:rPr>
                <w:sz w:val="20"/>
              </w:rPr>
              <w:t xml:space="preserve"> Instruction and learning processes are learner-centred, participatory and inclusive.</w:t>
            </w:r>
          </w:p>
          <w:p w:rsidR="00B02E6D" w:rsidRDefault="00B02E6D" w:rsidP="00380DCA">
            <w:r w:rsidRPr="00856D16">
              <w:rPr>
                <w:b/>
                <w:sz w:val="20"/>
                <w:u w:val="single"/>
              </w:rPr>
              <w:t>Standard 4: Assessment of Learning Outcomes</w:t>
            </w:r>
            <w:r w:rsidRPr="00856D16">
              <w:rPr>
                <w:sz w:val="20"/>
              </w:rPr>
              <w:t xml:space="preserve"> Appropriate methods are used to evaluate and validate learning outcomes.</w:t>
            </w:r>
          </w:p>
        </w:tc>
      </w:tr>
      <w:tr w:rsidR="00B02E6D" w:rsidTr="00380DCA">
        <w:tc>
          <w:tcPr>
            <w:tcW w:w="4428" w:type="dxa"/>
            <w:shd w:val="clear" w:color="auto" w:fill="00CCFF"/>
          </w:tcPr>
          <w:p w:rsidR="00B02E6D" w:rsidRPr="00856D16" w:rsidRDefault="00B02E6D" w:rsidP="00380DCA">
            <w:pPr>
              <w:jc w:val="center"/>
              <w:rPr>
                <w:b/>
              </w:rPr>
            </w:pPr>
            <w:r w:rsidRPr="00856D16">
              <w:rPr>
                <w:b/>
              </w:rPr>
              <w:t>Domain: Teachers and Other Education Personnel</w:t>
            </w:r>
          </w:p>
        </w:tc>
        <w:tc>
          <w:tcPr>
            <w:tcW w:w="4428" w:type="dxa"/>
            <w:shd w:val="clear" w:color="auto" w:fill="00CCFF"/>
          </w:tcPr>
          <w:p w:rsidR="00B02E6D" w:rsidRPr="00856D16" w:rsidRDefault="00B02E6D" w:rsidP="00380DCA">
            <w:pPr>
              <w:jc w:val="center"/>
              <w:rPr>
                <w:b/>
              </w:rPr>
            </w:pPr>
            <w:r w:rsidRPr="00856D16">
              <w:rPr>
                <w:b/>
              </w:rPr>
              <w:t>Domain: Education Policy</w:t>
            </w:r>
          </w:p>
        </w:tc>
      </w:tr>
      <w:tr w:rsidR="00B02E6D" w:rsidTr="00380DCA">
        <w:tc>
          <w:tcPr>
            <w:tcW w:w="4428" w:type="dxa"/>
          </w:tcPr>
          <w:p w:rsidR="00B02E6D" w:rsidRPr="00856D16" w:rsidRDefault="00B02E6D" w:rsidP="00380DCA">
            <w:pPr>
              <w:spacing w:line="240" w:lineRule="auto"/>
              <w:rPr>
                <w:rFonts w:eastAsia="Times New Roman"/>
                <w:sz w:val="20"/>
              </w:rPr>
            </w:pPr>
            <w:r w:rsidRPr="00856D16">
              <w:rPr>
                <w:rFonts w:eastAsia="Times New Roman"/>
                <w:b/>
                <w:sz w:val="20"/>
                <w:u w:val="single"/>
              </w:rPr>
              <w:t>Standard 1: Recruitment and Selection</w:t>
            </w:r>
            <w:r w:rsidRPr="00856D16">
              <w:rPr>
                <w:rFonts w:eastAsia="Times New Roman"/>
                <w:sz w:val="20"/>
              </w:rPr>
              <w:t xml:space="preserve"> </w:t>
            </w:r>
          </w:p>
          <w:p w:rsidR="00B02E6D" w:rsidRPr="00856D16" w:rsidRDefault="00B02E6D" w:rsidP="00380DCA">
            <w:pPr>
              <w:spacing w:line="240" w:lineRule="auto"/>
              <w:rPr>
                <w:rFonts w:eastAsia="Times New Roman"/>
                <w:sz w:val="20"/>
              </w:rPr>
            </w:pPr>
            <w:r w:rsidRPr="00856D16">
              <w:rPr>
                <w:rFonts w:eastAsia="Times New Roman"/>
                <w:sz w:val="20"/>
              </w:rPr>
              <w:t>A sufficient number of appropriately qualified teachers and other education personnel are recruited through a participatory and transparent process, based on selection criteria reflecting diversity and equity.</w:t>
            </w:r>
          </w:p>
          <w:p w:rsidR="00B02E6D" w:rsidRPr="00856D16" w:rsidRDefault="00B02E6D" w:rsidP="00380DCA">
            <w:pPr>
              <w:spacing w:line="240" w:lineRule="auto"/>
              <w:rPr>
                <w:rFonts w:eastAsia="Times New Roman"/>
                <w:sz w:val="20"/>
                <w:u w:val="single"/>
              </w:rPr>
            </w:pPr>
            <w:r w:rsidRPr="00856D16">
              <w:rPr>
                <w:rFonts w:eastAsia="Times New Roman"/>
                <w:b/>
                <w:sz w:val="20"/>
                <w:u w:val="single"/>
              </w:rPr>
              <w:t>Standard 2: Conditions of Work</w:t>
            </w:r>
            <w:r w:rsidRPr="00856D16">
              <w:rPr>
                <w:rFonts w:eastAsia="Times New Roman"/>
                <w:sz w:val="20"/>
              </w:rPr>
              <w:t xml:space="preserve"> Teachers and other education personnel have clearly defined conditions of work and are appropriately compensated.</w:t>
            </w:r>
          </w:p>
          <w:p w:rsidR="00B02E6D" w:rsidRPr="00856D16" w:rsidRDefault="00B02E6D" w:rsidP="00380DCA">
            <w:pPr>
              <w:spacing w:line="240" w:lineRule="auto"/>
              <w:rPr>
                <w:b/>
                <w:sz w:val="20"/>
                <w:u w:val="single"/>
              </w:rPr>
            </w:pPr>
            <w:r w:rsidRPr="00856D16">
              <w:rPr>
                <w:rFonts w:eastAsia="Times New Roman"/>
                <w:b/>
                <w:sz w:val="20"/>
                <w:u w:val="single"/>
              </w:rPr>
              <w:t>Standard 3: Support and Supervision</w:t>
            </w:r>
            <w:r w:rsidRPr="00856D16">
              <w:rPr>
                <w:rFonts w:eastAsia="Times New Roman"/>
                <w:sz w:val="20"/>
              </w:rPr>
              <w:t xml:space="preserve"> Support and supervision mechanisms for teachers and other education personnel function effectively.</w:t>
            </w:r>
          </w:p>
        </w:tc>
        <w:tc>
          <w:tcPr>
            <w:tcW w:w="4428" w:type="dxa"/>
          </w:tcPr>
          <w:p w:rsidR="00B02E6D" w:rsidRPr="00856D16" w:rsidRDefault="00B02E6D" w:rsidP="00380DCA">
            <w:pPr>
              <w:rPr>
                <w:sz w:val="20"/>
              </w:rPr>
            </w:pPr>
            <w:r w:rsidRPr="00856D16">
              <w:rPr>
                <w:b/>
                <w:sz w:val="20"/>
                <w:u w:val="single"/>
              </w:rPr>
              <w:t>Standard 1: Law and Policy Formulation</w:t>
            </w:r>
            <w:r w:rsidRPr="00856D16">
              <w:rPr>
                <w:sz w:val="20"/>
              </w:rPr>
              <w:t xml:space="preserve"> Education authorities prioritise continuity and recovery of quality education, including free and inclusive access to schooling.</w:t>
            </w:r>
          </w:p>
          <w:p w:rsidR="00B02E6D" w:rsidRPr="00856D16" w:rsidRDefault="00B02E6D" w:rsidP="00380DCA">
            <w:pPr>
              <w:rPr>
                <w:sz w:val="20"/>
              </w:rPr>
            </w:pPr>
            <w:r w:rsidRPr="00856D16">
              <w:rPr>
                <w:b/>
                <w:sz w:val="20"/>
                <w:u w:val="single"/>
              </w:rPr>
              <w:t>Standard 2: Planning and Implementation</w:t>
            </w:r>
            <w:r w:rsidRPr="00856D16">
              <w:rPr>
                <w:sz w:val="20"/>
              </w:rPr>
              <w:t xml:space="preserve"> Education activities take into account international and national educational policies, laws, standards and plans and the learning needs of affected populations.</w:t>
            </w:r>
          </w:p>
          <w:p w:rsidR="00B02E6D" w:rsidRDefault="00B02E6D" w:rsidP="00380DCA"/>
        </w:tc>
      </w:tr>
    </w:tbl>
    <w:p w:rsidR="00B02E6D" w:rsidRPr="00813AD0" w:rsidRDefault="00B02E6D" w:rsidP="002B03E6">
      <w:pPr>
        <w:spacing w:after="200"/>
        <w:rPr>
          <w:rFonts w:ascii="Arial" w:hAnsi="Arial" w:cs="Arial"/>
          <w:sz w:val="20"/>
          <w:szCs w:val="20"/>
        </w:rPr>
      </w:pPr>
    </w:p>
    <w:p w:rsidR="00B02E6D" w:rsidRPr="008D301B" w:rsidRDefault="00E25D14" w:rsidP="00B02E6D">
      <w:pPr>
        <w:pageBreakBefore/>
        <w:pBdr>
          <w:top w:val="single" w:sz="4" w:space="1" w:color="auto"/>
          <w:left w:val="single" w:sz="4" w:space="4" w:color="auto"/>
          <w:bottom w:val="single" w:sz="4" w:space="1" w:color="auto"/>
          <w:right w:val="single" w:sz="4" w:space="4" w:color="auto"/>
        </w:pBdr>
        <w:tabs>
          <w:tab w:val="left" w:pos="4320"/>
        </w:tabs>
        <w:jc w:val="center"/>
        <w:rPr>
          <w:rFonts w:ascii="Arial" w:hAnsi="Arial" w:cs="Arial"/>
          <w:b/>
          <w:sz w:val="22"/>
          <w:szCs w:val="22"/>
        </w:rPr>
      </w:pPr>
      <w:r>
        <w:rPr>
          <w:rFonts w:ascii="Arial" w:hAnsi="Arial" w:cs="Arial"/>
          <w:b/>
          <w:sz w:val="22"/>
          <w:szCs w:val="22"/>
        </w:rPr>
        <w:lastRenderedPageBreak/>
        <w:t xml:space="preserve">Handout </w:t>
      </w:r>
      <w:r w:rsidR="00B02E6D">
        <w:rPr>
          <w:rFonts w:ascii="Arial" w:hAnsi="Arial" w:cs="Arial"/>
          <w:b/>
          <w:sz w:val="22"/>
          <w:szCs w:val="22"/>
        </w:rPr>
        <w:t>2.2</w:t>
      </w:r>
      <w:r w:rsidR="00B02E6D" w:rsidRPr="008D301B">
        <w:rPr>
          <w:rFonts w:ascii="Arial" w:hAnsi="Arial" w:cs="Arial"/>
          <w:b/>
          <w:sz w:val="22"/>
          <w:szCs w:val="22"/>
        </w:rPr>
        <w:t xml:space="preserve"> </w:t>
      </w:r>
      <w:r w:rsidR="00B02E6D">
        <w:rPr>
          <w:rFonts w:ascii="Arial" w:hAnsi="Arial" w:cs="Arial"/>
          <w:b/>
          <w:sz w:val="22"/>
          <w:szCs w:val="22"/>
        </w:rPr>
        <w:t>–</w:t>
      </w:r>
      <w:r w:rsidR="00B02E6D" w:rsidRPr="008D301B">
        <w:rPr>
          <w:rFonts w:ascii="Arial" w:hAnsi="Arial" w:cs="Arial"/>
          <w:b/>
          <w:sz w:val="22"/>
          <w:szCs w:val="22"/>
        </w:rPr>
        <w:t xml:space="preserve"> </w:t>
      </w:r>
      <w:r w:rsidR="00B02E6D" w:rsidRPr="00B02E6D">
        <w:rPr>
          <w:rFonts w:ascii="Arial" w:hAnsi="Arial" w:cs="Arial"/>
          <w:b/>
          <w:sz w:val="22"/>
          <w:szCs w:val="22"/>
        </w:rPr>
        <w:t>Case Study of Emergency Education Response</w:t>
      </w:r>
    </w:p>
    <w:p w:rsidR="00B02E6D" w:rsidRDefault="00B02E6D" w:rsidP="00B02E6D">
      <w:pPr>
        <w:spacing w:after="120"/>
        <w:rPr>
          <w:rFonts w:ascii="Arial" w:hAnsi="Arial" w:cs="Arial"/>
          <w:sz w:val="20"/>
          <w:szCs w:val="20"/>
        </w:rPr>
      </w:pP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rPr>
          <w:rFonts w:ascii="Arial Bold" w:hAnsi="Arial Bold"/>
          <w:sz w:val="20"/>
        </w:rPr>
      </w:pPr>
      <w:r>
        <w:rPr>
          <w:rFonts w:ascii="Arial Bold" w:hAnsi="Arial Bold"/>
          <w:sz w:val="20"/>
        </w:rPr>
        <w:t xml:space="preserve">Case Study: Tsunami Emergency Response in Aceh and </w:t>
      </w:r>
      <w:proofErr w:type="spellStart"/>
      <w:r>
        <w:rPr>
          <w:rFonts w:ascii="Arial Bold" w:hAnsi="Arial Bold"/>
          <w:sz w:val="20"/>
        </w:rPr>
        <w:t>Nias</w:t>
      </w:r>
      <w:proofErr w:type="spellEnd"/>
      <w:r>
        <w:rPr>
          <w:rFonts w:ascii="Arial Bold" w:hAnsi="Arial Bold"/>
          <w:sz w:val="20"/>
        </w:rPr>
        <w:t xml:space="preserve"> (Indonesia)</w:t>
      </w: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rPr>
          <w:rFonts w:ascii="Arial Bold" w:hAnsi="Arial Bold"/>
          <w:sz w:val="20"/>
        </w:rPr>
      </w:pP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rPr>
          <w:rFonts w:ascii="Arial Bold" w:hAnsi="Arial Bold"/>
          <w:sz w:val="20"/>
        </w:rPr>
      </w:pPr>
      <w:r>
        <w:rPr>
          <w:rFonts w:ascii="Arial Bold" w:hAnsi="Arial Bold"/>
          <w:sz w:val="20"/>
        </w:rPr>
        <w:t>Background</w:t>
      </w: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rPr>
          <w:rFonts w:ascii="Arial Bold" w:hAnsi="Arial Bold"/>
          <w:sz w:val="20"/>
        </w:rPr>
      </w:pP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w:hAnsi="Arial"/>
          <w:sz w:val="20"/>
        </w:rPr>
      </w:pPr>
      <w:r>
        <w:rPr>
          <w:rFonts w:ascii="Arial" w:hAnsi="Arial"/>
          <w:sz w:val="20"/>
        </w:rPr>
        <w:t xml:space="preserve">On 26 December 2004, a major earthquake and resulting tsunami caused widespread devastation in the northern and western coastal areas of </w:t>
      </w:r>
      <w:proofErr w:type="spellStart"/>
      <w:r>
        <w:rPr>
          <w:rFonts w:ascii="Arial" w:hAnsi="Arial"/>
          <w:sz w:val="20"/>
        </w:rPr>
        <w:t>Nanggroe</w:t>
      </w:r>
      <w:proofErr w:type="spellEnd"/>
      <w:r>
        <w:rPr>
          <w:rFonts w:ascii="Arial" w:hAnsi="Arial"/>
          <w:sz w:val="20"/>
        </w:rPr>
        <w:t xml:space="preserve"> Aceh Darussalam (NAD). They left over 230,000 dead or missing to date and over 500,000 displaced. A subsequent earthquake on 28 March 2005 also resulted in widespread devastation in the island of </w:t>
      </w:r>
      <w:proofErr w:type="spellStart"/>
      <w:r>
        <w:rPr>
          <w:rFonts w:ascii="Arial" w:hAnsi="Arial"/>
          <w:sz w:val="20"/>
        </w:rPr>
        <w:t>Nias</w:t>
      </w:r>
      <w:proofErr w:type="spellEnd"/>
      <w:r>
        <w:rPr>
          <w:rFonts w:ascii="Arial" w:hAnsi="Arial"/>
          <w:sz w:val="20"/>
        </w:rPr>
        <w:t xml:space="preserve"> in North Sumatra and the island of </w:t>
      </w:r>
      <w:proofErr w:type="spellStart"/>
      <w:r>
        <w:rPr>
          <w:rFonts w:ascii="Arial" w:hAnsi="Arial"/>
          <w:sz w:val="20"/>
        </w:rPr>
        <w:t>Simelue</w:t>
      </w:r>
      <w:proofErr w:type="spellEnd"/>
      <w:r>
        <w:rPr>
          <w:rFonts w:ascii="Arial" w:hAnsi="Arial"/>
          <w:sz w:val="20"/>
        </w:rPr>
        <w:t xml:space="preserve"> in Aceh. According to the Ministry of National Education (April 2005), the tragedy left 40,900 children and students dead or missing (kindergarten–university), 2,500 teachers dead or missing (kindergarten–university), and 2,135 destroyed or heavily damaged schools (kindergarten–university): among those, 1,521 were primary schools (71%). </w:t>
      </w: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w:hAnsi="Arial"/>
          <w:sz w:val="20"/>
        </w:rPr>
      </w:pP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w:hAnsi="Arial"/>
          <w:sz w:val="20"/>
        </w:rPr>
      </w:pPr>
      <w:r>
        <w:rPr>
          <w:rFonts w:ascii="Arial" w:hAnsi="Arial"/>
          <w:sz w:val="20"/>
        </w:rPr>
        <w:t xml:space="preserve">UNICEF as the UN lead agency in the education sector in Aceh and </w:t>
      </w:r>
      <w:proofErr w:type="spellStart"/>
      <w:r>
        <w:rPr>
          <w:rFonts w:ascii="Arial" w:hAnsi="Arial"/>
          <w:sz w:val="20"/>
        </w:rPr>
        <w:t>Nias</w:t>
      </w:r>
      <w:proofErr w:type="spellEnd"/>
      <w:r>
        <w:rPr>
          <w:rFonts w:ascii="Arial" w:hAnsi="Arial"/>
          <w:sz w:val="20"/>
        </w:rPr>
        <w:t xml:space="preserve"> has been working with government counterparts since the onset of the emergencies and has supported regular coordination meetings and shared information with the NGOs. In coordination with the Executing Agency for Rehabilitation of Aceh and </w:t>
      </w:r>
      <w:proofErr w:type="spellStart"/>
      <w:r>
        <w:rPr>
          <w:rFonts w:ascii="Arial" w:hAnsi="Arial"/>
          <w:sz w:val="20"/>
        </w:rPr>
        <w:t>Nias</w:t>
      </w:r>
      <w:proofErr w:type="spellEnd"/>
      <w:r>
        <w:rPr>
          <w:rFonts w:ascii="Arial" w:hAnsi="Arial"/>
          <w:sz w:val="20"/>
        </w:rPr>
        <w:t xml:space="preserve"> (BRR), the Ministry of National Education (MONE), the Ministry of Religious Affairs (MORA) and NGOs, UNICEF has been supporting the restoration of access to basic education in Aceh and </w:t>
      </w:r>
      <w:proofErr w:type="spellStart"/>
      <w:r>
        <w:rPr>
          <w:rFonts w:ascii="Arial" w:hAnsi="Arial"/>
          <w:sz w:val="20"/>
        </w:rPr>
        <w:t>Nias</w:t>
      </w:r>
      <w:proofErr w:type="spellEnd"/>
      <w:r>
        <w:rPr>
          <w:rFonts w:ascii="Arial" w:hAnsi="Arial"/>
          <w:sz w:val="20"/>
        </w:rPr>
        <w:t>.</w:t>
      </w: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uto"/>
        <w:jc w:val="both"/>
        <w:rPr>
          <w:rFonts w:ascii="Arial Bold" w:hAnsi="Arial Bold"/>
          <w:sz w:val="20"/>
        </w:rPr>
      </w:pP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Bold" w:hAnsi="Arial Bold"/>
          <w:sz w:val="20"/>
        </w:rPr>
      </w:pPr>
      <w:r>
        <w:rPr>
          <w:rFonts w:ascii="Arial Bold" w:hAnsi="Arial Bold"/>
          <w:sz w:val="20"/>
        </w:rPr>
        <w:t>Acute Emergency (Initial) Phases (January–March 2005)</w:t>
      </w: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Bold" w:hAnsi="Arial Bold"/>
          <w:sz w:val="20"/>
        </w:rPr>
      </w:pP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w:hAnsi="Arial"/>
          <w:sz w:val="20"/>
        </w:rPr>
      </w:pPr>
      <w:r>
        <w:rPr>
          <w:rFonts w:ascii="Arial" w:hAnsi="Arial"/>
          <w:sz w:val="20"/>
        </w:rPr>
        <w:t xml:space="preserve">A Back to School Campaign was carried out, and schools reopened one month after the earthquake and tsunami. In the period January–March 2005, UNICEF distributed 216 school tents, 732,000 textbooks, 4,739 School-in-a-Box Kits, 455 locally procured teaching–learning materials and 3,222 Recreation Kits to reach over 550,000 children in tsunami-affected districts. </w:t>
      </w: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w:hAnsi="Arial"/>
          <w:sz w:val="20"/>
        </w:rPr>
      </w:pP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w:hAnsi="Arial"/>
          <w:sz w:val="20"/>
        </w:rPr>
      </w:pPr>
      <w:r>
        <w:rPr>
          <w:rFonts w:ascii="Arial" w:hAnsi="Arial"/>
          <w:sz w:val="20"/>
        </w:rPr>
        <w:t>UNICEF worked with partners, and the majority of the materials were distributed by government counterparts and NGOs. In Banda Aceh, the Education Sector Working Group was set up in early February 2005 to coordinate with government counterparts and other agencies to avoid overlap and to produce an effective response. A Rapid Assessment of Learning Spaces (RALS) was conducted in all affected areas. Key findings were shared with the partners and needs identified were reflected in the government programme.</w:t>
      </w: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w:hAnsi="Arial"/>
          <w:sz w:val="20"/>
        </w:rPr>
      </w:pP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Bold" w:hAnsi="Arial Bold"/>
          <w:sz w:val="20"/>
        </w:rPr>
      </w:pPr>
      <w:r>
        <w:rPr>
          <w:rFonts w:ascii="Arial Bold" w:hAnsi="Arial Bold"/>
          <w:sz w:val="20"/>
        </w:rPr>
        <w:t>Beyond the Initial Response (mid-July 2005 and onwards)</w:t>
      </w: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Bold" w:hAnsi="Arial Bold"/>
          <w:sz w:val="20"/>
        </w:rPr>
      </w:pP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w:hAnsi="Arial"/>
          <w:sz w:val="20"/>
        </w:rPr>
      </w:pPr>
      <w:r>
        <w:rPr>
          <w:rFonts w:ascii="Arial" w:hAnsi="Arial"/>
          <w:sz w:val="20"/>
        </w:rPr>
        <w:t>Since July 2005, Education Coordination meetings have been held every 2 weeks with minutes distributed through a mailing list or over 150 organisations and individuals. To overcome the challenge of limited accurate data sharing, UNICEF collaborated with the UN Information Management Services to develop on-line access to information.</w:t>
      </w: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w:hAnsi="Arial"/>
          <w:sz w:val="20"/>
        </w:rPr>
      </w:pP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w:hAnsi="Arial"/>
          <w:sz w:val="20"/>
        </w:rPr>
      </w:pPr>
      <w:r>
        <w:rPr>
          <w:rFonts w:ascii="Arial" w:hAnsi="Arial"/>
          <w:sz w:val="20"/>
        </w:rPr>
        <w:t xml:space="preserve">UNICEF continued to work with partners to support the beginning of the first new school year in post-tsunami/earthquake in Aceh and </w:t>
      </w:r>
      <w:proofErr w:type="spellStart"/>
      <w:r>
        <w:rPr>
          <w:rFonts w:ascii="Arial" w:hAnsi="Arial"/>
          <w:sz w:val="20"/>
        </w:rPr>
        <w:t>Nias</w:t>
      </w:r>
      <w:proofErr w:type="spellEnd"/>
      <w:r>
        <w:rPr>
          <w:rFonts w:ascii="Arial" w:hAnsi="Arial"/>
          <w:sz w:val="20"/>
        </w:rPr>
        <w:t xml:space="preserve"> in July 2005. A new round of the Back to School Campaign was undertaken, 830,000 stationery kits and 230,000 sets of textbooks were distributed (a ratio of 1 book for every 3 children).</w:t>
      </w: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w:hAnsi="Arial"/>
          <w:sz w:val="20"/>
        </w:rPr>
      </w:pP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w:hAnsi="Arial"/>
          <w:sz w:val="20"/>
        </w:rPr>
      </w:pPr>
      <w:r>
        <w:rPr>
          <w:rFonts w:ascii="Arial" w:hAnsi="Arial"/>
          <w:sz w:val="20"/>
        </w:rPr>
        <w:t>In addition to the items supplied in the initial acute phase response, a further 797 school tents, 2,201 School-in-a-Box Kits and 1,143 Recreation Kits were distributed.</w:t>
      </w: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w:hAnsi="Arial"/>
          <w:sz w:val="20"/>
        </w:rPr>
      </w:pP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w:hAnsi="Arial"/>
          <w:sz w:val="20"/>
          <w:u w:val="single"/>
        </w:rPr>
      </w:pPr>
      <w:r>
        <w:rPr>
          <w:rFonts w:ascii="Arial" w:hAnsi="Arial"/>
          <w:sz w:val="20"/>
          <w:u w:val="single"/>
        </w:rPr>
        <w:t>Teacher recruitment and training</w:t>
      </w: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w:hAnsi="Arial"/>
          <w:sz w:val="20"/>
        </w:rPr>
      </w:pPr>
      <w:r>
        <w:rPr>
          <w:rFonts w:ascii="Arial" w:hAnsi="Arial"/>
          <w:sz w:val="20"/>
        </w:rPr>
        <w:t xml:space="preserve">UNICEF also assisted with the recruitment, training and deployment of 1,110 temporary teachers in Aceh and paid 6 </w:t>
      </w:r>
      <w:proofErr w:type="spellStart"/>
      <w:r>
        <w:rPr>
          <w:rFonts w:ascii="Arial" w:hAnsi="Arial"/>
          <w:sz w:val="20"/>
        </w:rPr>
        <w:t>months</w:t>
      </w:r>
      <w:proofErr w:type="spellEnd"/>
      <w:r>
        <w:rPr>
          <w:rFonts w:ascii="Arial" w:hAnsi="Arial"/>
          <w:sz w:val="20"/>
        </w:rPr>
        <w:t xml:space="preserve"> salary to these teachers. An additional 150 existing kindergarten teachers were trained in Early Childhood Development knowledge and skills and paid 6 </w:t>
      </w:r>
      <w:proofErr w:type="spellStart"/>
      <w:r>
        <w:rPr>
          <w:rFonts w:ascii="Arial" w:hAnsi="Arial"/>
          <w:sz w:val="20"/>
        </w:rPr>
        <w:t>months</w:t>
      </w:r>
      <w:proofErr w:type="spellEnd"/>
      <w:r>
        <w:rPr>
          <w:rFonts w:ascii="Arial" w:hAnsi="Arial"/>
          <w:sz w:val="20"/>
        </w:rPr>
        <w:t xml:space="preserve"> salary. These teachers were then under the supervision of the government in January 2006.</w:t>
      </w: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w:hAnsi="Arial"/>
          <w:sz w:val="20"/>
        </w:rPr>
      </w:pP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w:hAnsi="Arial"/>
          <w:sz w:val="20"/>
        </w:rPr>
      </w:pPr>
      <w:r>
        <w:rPr>
          <w:rFonts w:ascii="Arial" w:hAnsi="Arial"/>
          <w:sz w:val="20"/>
        </w:rPr>
        <w:lastRenderedPageBreak/>
        <w:t xml:space="preserve">UNICEF also coordinated the Teacher Training sub-working group that commenced in April 2005, and has agreed to strengthen the system for in-service teacher training by revitalising the existing teacher network and monitoring system. Currently, an overall framework for teacher training for the next 5–10 years is being finalised by the government counterparts with UNICEF's technical assistance. </w:t>
      </w: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w:hAnsi="Arial"/>
          <w:sz w:val="20"/>
        </w:rPr>
      </w:pP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w:hAnsi="Arial"/>
          <w:sz w:val="20"/>
        </w:rPr>
      </w:pPr>
      <w:r>
        <w:rPr>
          <w:rFonts w:ascii="Arial" w:hAnsi="Arial"/>
          <w:sz w:val="20"/>
        </w:rPr>
        <w:t>Plans are being developed to train 1,000 students and 40 head teachers on peace building and life skills. Over the next 3 years, UNICEF will also support training on trauma counselling.</w:t>
      </w: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w:hAnsi="Arial"/>
          <w:sz w:val="20"/>
        </w:rPr>
      </w:pP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w:hAnsi="Arial"/>
          <w:sz w:val="20"/>
          <w:u w:val="single"/>
        </w:rPr>
      </w:pPr>
      <w:r>
        <w:rPr>
          <w:rFonts w:ascii="Arial" w:hAnsi="Arial"/>
          <w:sz w:val="20"/>
          <w:u w:val="single"/>
        </w:rPr>
        <w:t>Psychosocial and health and hygiene support</w:t>
      </w: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w:hAnsi="Arial"/>
          <w:sz w:val="20"/>
          <w:u w:val="single"/>
        </w:rPr>
      </w:pPr>
      <w:r>
        <w:rPr>
          <w:rFonts w:ascii="Arial" w:hAnsi="Arial"/>
          <w:sz w:val="20"/>
        </w:rPr>
        <w:t>UNICEF participated in an international psychosocial meeting in April 2005 and is supporting some psychosocial initiatives in newly established childcare centres. WATSAN plans to train 250 students on health and hygiene promotion – these students will then train others. Child Protection intends to carry out an assessment before the end of 2005 on sexual abuse, exploitation and trafficking.</w:t>
      </w: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w:hAnsi="Arial"/>
          <w:sz w:val="20"/>
          <w:u w:val="single"/>
        </w:rPr>
      </w:pP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w:hAnsi="Arial"/>
          <w:sz w:val="20"/>
          <w:u w:val="single"/>
        </w:rPr>
      </w:pPr>
      <w:r>
        <w:rPr>
          <w:rFonts w:ascii="Arial" w:hAnsi="Arial"/>
          <w:sz w:val="20"/>
          <w:u w:val="single"/>
        </w:rPr>
        <w:t>Temporary and permanent school structures</w:t>
      </w: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w:hAnsi="Arial"/>
          <w:sz w:val="20"/>
        </w:rPr>
      </w:pPr>
      <w:r>
        <w:rPr>
          <w:rFonts w:ascii="Arial" w:hAnsi="Arial"/>
          <w:sz w:val="20"/>
        </w:rPr>
        <w:t xml:space="preserve">School tents were distributed during the initial acute phase but these are wearing out. The recovery and scope of the destruction has meant that permanent schools are not yet in place. To support this interim period, UNICEF contracted an NGO to build 200 temporary schools. These schools include water and sanitation facilities. By December 2005, approximately half of these temporary schools had been built, benefiting 8,550 children. Temporary schools are being furnished as they are completed, together with provision of School-in-a-Box and Recreation Kits, blackboards, rulers and plastic mats. </w:t>
      </w: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w:hAnsi="Arial"/>
          <w:sz w:val="20"/>
        </w:rPr>
      </w:pP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w:hAnsi="Arial"/>
          <w:sz w:val="20"/>
        </w:rPr>
      </w:pPr>
      <w:r>
        <w:rPr>
          <w:rFonts w:ascii="Arial" w:hAnsi="Arial"/>
          <w:sz w:val="20"/>
        </w:rPr>
        <w:t>In April 2005, UNICEF also signed an MOU with the MONE to reconstruct approximately 300 child-friendly primary schools and rehabilitate 200 primary schools, over the next 3 years. Construction of the first permanent school started at the end of September 2005.</w:t>
      </w: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Bold" w:hAnsi="Arial Bold"/>
          <w:sz w:val="20"/>
        </w:rPr>
      </w:pP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spacing w:line="240" w:lineRule="atLeast"/>
        <w:jc w:val="both"/>
        <w:rPr>
          <w:rFonts w:ascii="Arial Bold" w:hAnsi="Arial Bold"/>
          <w:sz w:val="20"/>
        </w:rPr>
      </w:pPr>
      <w:r>
        <w:rPr>
          <w:rFonts w:ascii="Arial Bold" w:hAnsi="Arial Bold"/>
          <w:sz w:val="20"/>
        </w:rPr>
        <w:t>Major challenges</w:t>
      </w: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tabs>
          <w:tab w:val="left" w:pos="360"/>
          <w:tab w:val="left" w:pos="720"/>
        </w:tabs>
        <w:spacing w:line="240" w:lineRule="auto"/>
        <w:ind w:left="720" w:hanging="720"/>
        <w:jc w:val="both"/>
        <w:rPr>
          <w:rFonts w:ascii="Arial" w:hAnsi="Arial"/>
          <w:sz w:val="20"/>
        </w:rPr>
      </w:pPr>
      <w:r>
        <w:rPr>
          <w:rFonts w:ascii="Arial" w:hAnsi="Arial"/>
          <w:sz w:val="20"/>
          <w:lang w:val="en-US"/>
        </w:rPr>
        <w:tab/>
        <w:t>▪</w:t>
      </w:r>
      <w:r>
        <w:rPr>
          <w:rFonts w:ascii="Arial" w:hAnsi="Arial"/>
          <w:sz w:val="20"/>
        </w:rPr>
        <w:t xml:space="preserve"> </w:t>
      </w:r>
      <w:r>
        <w:rPr>
          <w:rFonts w:ascii="Arial" w:hAnsi="Arial"/>
          <w:sz w:val="20"/>
        </w:rPr>
        <w:tab/>
        <w:t xml:space="preserve">Government counterparts have had limited experience and exposure with international communities, and most of them lost a significant number of staff due to the earthquake and tsunami. In such circumstances, the presence and pressure from the international </w:t>
      </w:r>
      <w:proofErr w:type="spellStart"/>
      <w:r>
        <w:rPr>
          <w:rFonts w:ascii="Arial" w:hAnsi="Arial"/>
          <w:sz w:val="20"/>
        </w:rPr>
        <w:t>communities</w:t>
      </w:r>
      <w:proofErr w:type="spellEnd"/>
      <w:r>
        <w:rPr>
          <w:rFonts w:ascii="Arial" w:hAnsi="Arial"/>
          <w:sz w:val="20"/>
        </w:rPr>
        <w:t xml:space="preserve"> (over 300 NGOs) completely overwhelmed the government counterparts. In addition, there was a lack of clear directions from authorities of different government bodies, creating confusions and misunderstandings among actors.</w:t>
      </w: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tabs>
          <w:tab w:val="left" w:pos="360"/>
          <w:tab w:val="left" w:pos="720"/>
        </w:tabs>
        <w:spacing w:line="240" w:lineRule="auto"/>
        <w:ind w:left="720" w:hanging="720"/>
        <w:jc w:val="both"/>
        <w:rPr>
          <w:rFonts w:ascii="Arial" w:hAnsi="Arial"/>
          <w:sz w:val="20"/>
          <w:lang w:val="ja-JP"/>
        </w:rPr>
      </w:pPr>
      <w:r>
        <w:rPr>
          <w:rFonts w:ascii="Arial" w:hAnsi="Arial"/>
          <w:sz w:val="20"/>
          <w:lang w:val="en-US"/>
        </w:rPr>
        <w:tab/>
        <w:t>▪</w:t>
      </w:r>
      <w:r>
        <w:rPr>
          <w:rFonts w:ascii="Arial" w:hAnsi="Arial"/>
          <w:sz w:val="20"/>
        </w:rPr>
        <w:t xml:space="preserve"> </w:t>
      </w:r>
      <w:r>
        <w:rPr>
          <w:rFonts w:ascii="Arial" w:hAnsi="Arial"/>
          <w:sz w:val="20"/>
        </w:rPr>
        <w:tab/>
        <w:t>Overlapping of school sites occurred due to several reasons: (</w:t>
      </w:r>
      <w:proofErr w:type="spellStart"/>
      <w:r>
        <w:rPr>
          <w:rFonts w:ascii="Arial" w:hAnsi="Arial"/>
          <w:sz w:val="20"/>
        </w:rPr>
        <w:t>i</w:t>
      </w:r>
      <w:proofErr w:type="spellEnd"/>
      <w:r>
        <w:rPr>
          <w:rFonts w:ascii="Arial" w:hAnsi="Arial"/>
          <w:sz w:val="20"/>
        </w:rPr>
        <w:t>) lack of communication among and between different actors and education authority levels; and (ii) communities making several agreements with various humanitarian agencies as a ‘protection’ mechanism, as over the years they have become used to</w:t>
      </w:r>
      <w:r>
        <w:rPr>
          <w:rFonts w:ascii="Arial" w:hAnsi="Arial"/>
          <w:sz w:val="20"/>
          <w:lang w:val="ja-JP"/>
        </w:rPr>
        <w:t xml:space="preserve"> ‘empty promises’. </w:t>
      </w:r>
    </w:p>
    <w:p w:rsidR="00B02E6D" w:rsidRDefault="00B02E6D" w:rsidP="00B02E6D">
      <w:pPr>
        <w:pBdr>
          <w:top w:val="single" w:sz="4" w:space="0" w:color="000000"/>
          <w:left w:val="single" w:sz="4" w:space="0" w:color="000000"/>
          <w:bottom w:val="single" w:sz="4" w:space="0" w:color="000000"/>
          <w:right w:val="single" w:sz="4" w:space="0" w:color="000000"/>
        </w:pBdr>
        <w:shd w:val="clear" w:color="auto" w:fill="E0E0E0"/>
        <w:tabs>
          <w:tab w:val="left" w:pos="360"/>
          <w:tab w:val="left" w:pos="720"/>
        </w:tabs>
        <w:spacing w:line="240" w:lineRule="auto"/>
        <w:ind w:left="720" w:hanging="720"/>
        <w:jc w:val="both"/>
        <w:rPr>
          <w:rFonts w:ascii="Arial" w:hAnsi="Arial"/>
          <w:sz w:val="20"/>
          <w:lang w:val="ja-JP"/>
        </w:rPr>
      </w:pPr>
    </w:p>
    <w:p w:rsidR="00B02E6D" w:rsidRDefault="00B02E6D" w:rsidP="00B02E6D">
      <w:pPr>
        <w:rPr>
          <w:rFonts w:ascii="Arial" w:hAnsi="Arial"/>
          <w:sz w:val="22"/>
        </w:rPr>
      </w:pPr>
    </w:p>
    <w:p w:rsidR="00B02E6D" w:rsidRPr="00813AD0" w:rsidRDefault="00B02E6D" w:rsidP="00B02E6D">
      <w:pPr>
        <w:spacing w:after="200"/>
        <w:rPr>
          <w:rFonts w:ascii="Arial" w:hAnsi="Arial" w:cs="Arial"/>
          <w:sz w:val="20"/>
          <w:szCs w:val="20"/>
        </w:rPr>
      </w:pPr>
    </w:p>
    <w:p w:rsidR="00B02E6D" w:rsidRPr="008D301B" w:rsidRDefault="00B02E6D" w:rsidP="00B02E6D">
      <w:pPr>
        <w:pageBreakBefore/>
        <w:pBdr>
          <w:top w:val="single" w:sz="4" w:space="1" w:color="auto"/>
          <w:left w:val="single" w:sz="4" w:space="4" w:color="auto"/>
          <w:bottom w:val="single" w:sz="4" w:space="1" w:color="auto"/>
          <w:right w:val="single" w:sz="4" w:space="4" w:color="auto"/>
        </w:pBdr>
        <w:tabs>
          <w:tab w:val="left" w:pos="4320"/>
        </w:tabs>
        <w:jc w:val="center"/>
        <w:rPr>
          <w:rFonts w:ascii="Arial" w:hAnsi="Arial" w:cs="Arial"/>
          <w:b/>
          <w:sz w:val="22"/>
          <w:szCs w:val="22"/>
        </w:rPr>
      </w:pPr>
      <w:r>
        <w:rPr>
          <w:rFonts w:ascii="Arial" w:hAnsi="Arial" w:cs="Arial"/>
          <w:b/>
          <w:sz w:val="22"/>
          <w:szCs w:val="22"/>
        </w:rPr>
        <w:lastRenderedPageBreak/>
        <w:t>Handout 2.3</w:t>
      </w:r>
      <w:r w:rsidRPr="008D301B">
        <w:rPr>
          <w:rFonts w:ascii="Arial" w:hAnsi="Arial" w:cs="Arial"/>
          <w:b/>
          <w:sz w:val="22"/>
          <w:szCs w:val="22"/>
        </w:rPr>
        <w:t xml:space="preserve"> </w:t>
      </w:r>
      <w:r>
        <w:rPr>
          <w:rFonts w:ascii="Arial" w:hAnsi="Arial" w:cs="Arial"/>
          <w:b/>
          <w:sz w:val="22"/>
          <w:szCs w:val="22"/>
        </w:rPr>
        <w:t>–</w:t>
      </w:r>
      <w:r w:rsidRPr="008D301B">
        <w:rPr>
          <w:rFonts w:ascii="Arial" w:hAnsi="Arial" w:cs="Arial"/>
          <w:b/>
          <w:sz w:val="22"/>
          <w:szCs w:val="22"/>
        </w:rPr>
        <w:t xml:space="preserve"> </w:t>
      </w:r>
      <w:r w:rsidRPr="00B02E6D">
        <w:rPr>
          <w:rFonts w:ascii="Arial" w:hAnsi="Arial" w:cs="Arial"/>
          <w:b/>
          <w:sz w:val="22"/>
          <w:szCs w:val="22"/>
        </w:rPr>
        <w:t>Case Analysis of Application of the Minimum Standards for Education: Preparedness, Response, Recovery</w:t>
      </w:r>
    </w:p>
    <w:p w:rsidR="00B02E6D" w:rsidRPr="00B02E6D" w:rsidRDefault="00B02E6D" w:rsidP="00B02E6D">
      <w:pPr>
        <w:spacing w:line="240" w:lineRule="auto"/>
        <w:rPr>
          <w:rFonts w:ascii="Arial Bold" w:hAnsi="Arial Bold"/>
          <w:sz w:val="16"/>
          <w:szCs w:val="16"/>
        </w:rPr>
      </w:pPr>
    </w:p>
    <w:tbl>
      <w:tblPr>
        <w:tblW w:w="9781" w:type="dxa"/>
        <w:tblInd w:w="-562" w:type="dxa"/>
        <w:shd w:val="clear" w:color="auto" w:fill="FFFFFF"/>
        <w:tblLayout w:type="fixed"/>
        <w:tblLook w:val="0000"/>
      </w:tblPr>
      <w:tblGrid>
        <w:gridCol w:w="2410"/>
        <w:gridCol w:w="2552"/>
        <w:gridCol w:w="2409"/>
        <w:gridCol w:w="2410"/>
      </w:tblGrid>
      <w:tr w:rsidR="00B02E6D" w:rsidTr="00B02E6D">
        <w:trPr>
          <w:cantSplit/>
          <w:trHeight w:val="720"/>
        </w:trPr>
        <w:tc>
          <w:tcPr>
            <w:tcW w:w="2410" w:type="dxa"/>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02E6D" w:rsidRDefault="00B02E6D" w:rsidP="00380DCA">
            <w:pPr>
              <w:spacing w:line="240" w:lineRule="auto"/>
              <w:rPr>
                <w:rFonts w:ascii="Arial Bold" w:hAnsi="Arial Bold"/>
                <w:sz w:val="22"/>
              </w:rPr>
            </w:pPr>
            <w:r>
              <w:rPr>
                <w:rFonts w:ascii="Arial Bold" w:hAnsi="Arial Bold"/>
                <w:sz w:val="22"/>
              </w:rPr>
              <w:t>INEE Minimum Standards Domains</w:t>
            </w:r>
          </w:p>
        </w:tc>
        <w:tc>
          <w:tcPr>
            <w:tcW w:w="2552" w:type="dxa"/>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02E6D" w:rsidRDefault="00B02E6D" w:rsidP="00380DCA">
            <w:pPr>
              <w:spacing w:line="240" w:lineRule="auto"/>
              <w:rPr>
                <w:rFonts w:ascii="Arial Bold" w:hAnsi="Arial Bold"/>
                <w:sz w:val="22"/>
              </w:rPr>
            </w:pPr>
            <w:r>
              <w:rPr>
                <w:rFonts w:ascii="Arial Bold" w:hAnsi="Arial Bold"/>
                <w:sz w:val="22"/>
              </w:rPr>
              <w:t>What standards were applied?</w:t>
            </w:r>
          </w:p>
        </w:tc>
        <w:tc>
          <w:tcPr>
            <w:tcW w:w="2409" w:type="dxa"/>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02E6D" w:rsidRDefault="00B02E6D" w:rsidP="00380DCA">
            <w:pPr>
              <w:spacing w:line="240" w:lineRule="auto"/>
              <w:rPr>
                <w:rFonts w:ascii="Arial Bold" w:hAnsi="Arial Bold"/>
                <w:sz w:val="22"/>
              </w:rPr>
            </w:pPr>
            <w:r>
              <w:rPr>
                <w:rFonts w:ascii="Arial Bold" w:hAnsi="Arial Bold"/>
                <w:sz w:val="22"/>
              </w:rPr>
              <w:t>How? What response actions were taken?</w:t>
            </w:r>
          </w:p>
        </w:tc>
        <w:tc>
          <w:tcPr>
            <w:tcW w:w="2410" w:type="dxa"/>
            <w:tcBorders>
              <w:top w:val="single" w:sz="4" w:space="0" w:color="000000"/>
              <w:left w:val="single" w:sz="4" w:space="0" w:color="000000"/>
              <w:bottom w:val="single" w:sz="4" w:space="0" w:color="000000"/>
              <w:right w:val="single" w:sz="4" w:space="0" w:color="000000"/>
            </w:tcBorders>
            <w:shd w:val="clear" w:color="auto" w:fill="E6E6E6"/>
            <w:tcMar>
              <w:top w:w="0" w:type="dxa"/>
              <w:left w:w="0" w:type="dxa"/>
              <w:bottom w:w="0" w:type="dxa"/>
              <w:right w:w="0" w:type="dxa"/>
            </w:tcMar>
          </w:tcPr>
          <w:p w:rsidR="00B02E6D" w:rsidRDefault="00B02E6D" w:rsidP="00380DCA">
            <w:pPr>
              <w:spacing w:line="240" w:lineRule="auto"/>
              <w:rPr>
                <w:rFonts w:ascii="Arial Bold" w:hAnsi="Arial Bold"/>
                <w:sz w:val="22"/>
              </w:rPr>
            </w:pPr>
            <w:r>
              <w:rPr>
                <w:rFonts w:ascii="Arial Bold" w:hAnsi="Arial Bold"/>
                <w:sz w:val="22"/>
              </w:rPr>
              <w:t>What were the gaps?</w:t>
            </w:r>
          </w:p>
        </w:tc>
      </w:tr>
      <w:tr w:rsidR="00B02E6D" w:rsidTr="00B02E6D">
        <w:trPr>
          <w:cantSplit/>
          <w:trHeight w:val="1540"/>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2E6D" w:rsidRPr="00B02E6D" w:rsidRDefault="00B02E6D" w:rsidP="00B02E6D">
            <w:pPr>
              <w:pStyle w:val="dots"/>
              <w:numPr>
                <w:ilvl w:val="0"/>
                <w:numId w:val="0"/>
              </w:numPr>
              <w:rPr>
                <w:rFonts w:ascii="Arial Bold" w:hAnsi="Arial Bold"/>
                <w:sz w:val="22"/>
                <w:szCs w:val="22"/>
              </w:rPr>
            </w:pPr>
            <w:r w:rsidRPr="00B02E6D">
              <w:rPr>
                <w:rFonts w:ascii="Arial Bold" w:hAnsi="Arial Bold"/>
                <w:sz w:val="22"/>
                <w:szCs w:val="22"/>
              </w:rPr>
              <w:t>Community Participation</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2E6D" w:rsidRDefault="00B02E6D" w:rsidP="00380DCA">
            <w:pPr>
              <w:spacing w:line="240" w:lineRule="auto"/>
              <w:rPr>
                <w:sz w:val="20"/>
              </w:rPr>
            </w:pPr>
          </w:p>
          <w:p w:rsidR="00B02E6D" w:rsidRDefault="00B02E6D" w:rsidP="00380DCA">
            <w:pPr>
              <w:spacing w:line="240" w:lineRule="auto"/>
              <w:rPr>
                <w:sz w:val="20"/>
              </w:rPr>
            </w:pPr>
          </w:p>
          <w:p w:rsidR="00B02E6D" w:rsidRDefault="00B02E6D" w:rsidP="00380DCA">
            <w:pPr>
              <w:spacing w:line="240" w:lineRule="auto"/>
              <w:rPr>
                <w:sz w:val="20"/>
              </w:rPr>
            </w:pPr>
          </w:p>
          <w:p w:rsidR="00B02E6D" w:rsidRDefault="00B02E6D" w:rsidP="00380DCA">
            <w:pPr>
              <w:spacing w:line="240" w:lineRule="auto"/>
              <w:rPr>
                <w:sz w:val="20"/>
              </w:rPr>
            </w:pPr>
          </w:p>
          <w:p w:rsidR="00B02E6D" w:rsidRDefault="00B02E6D" w:rsidP="00380DCA">
            <w:pPr>
              <w:spacing w:line="240" w:lineRule="auto"/>
              <w:rPr>
                <w:sz w:val="20"/>
              </w:rPr>
            </w:pPr>
          </w:p>
          <w:p w:rsidR="00B02E6D" w:rsidRDefault="00B02E6D" w:rsidP="00380DCA">
            <w:pPr>
              <w:pStyle w:val="tabletext"/>
              <w:rPr>
                <w:rFonts w:ascii="Times New Roman" w:hAnsi="Times New Roman"/>
              </w:rPr>
            </w:pPr>
          </w:p>
          <w:p w:rsidR="00B02E6D" w:rsidRDefault="00B02E6D" w:rsidP="00380DCA">
            <w:pPr>
              <w:pStyle w:val="tabletext"/>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2E6D" w:rsidRDefault="00B02E6D" w:rsidP="00380DCA">
            <w:pPr>
              <w:spacing w:line="240" w:lineRule="auto"/>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2E6D" w:rsidRDefault="00B02E6D" w:rsidP="00380DCA">
            <w:pPr>
              <w:spacing w:line="240" w:lineRule="auto"/>
            </w:pPr>
          </w:p>
        </w:tc>
      </w:tr>
      <w:tr w:rsidR="00B02E6D" w:rsidTr="00B02E6D">
        <w:trPr>
          <w:cantSplit/>
          <w:trHeight w:val="1540"/>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2E6D" w:rsidRPr="00B02E6D" w:rsidRDefault="00B02E6D" w:rsidP="00B02E6D">
            <w:pPr>
              <w:pStyle w:val="dots"/>
              <w:numPr>
                <w:ilvl w:val="0"/>
                <w:numId w:val="0"/>
              </w:numPr>
              <w:rPr>
                <w:rFonts w:ascii="Arial Bold" w:hAnsi="Arial Bold"/>
                <w:sz w:val="22"/>
                <w:szCs w:val="22"/>
              </w:rPr>
            </w:pPr>
            <w:r w:rsidRPr="00B02E6D">
              <w:rPr>
                <w:rFonts w:ascii="Arial Bold" w:hAnsi="Arial Bold"/>
                <w:sz w:val="22"/>
                <w:szCs w:val="22"/>
              </w:rPr>
              <w:t>Coordination</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2E6D" w:rsidRDefault="00B02E6D" w:rsidP="00380DCA">
            <w:pPr>
              <w:spacing w:line="240" w:lineRule="auto"/>
              <w:rPr>
                <w:sz w:val="20"/>
              </w:rPr>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2E6D" w:rsidRDefault="00B02E6D" w:rsidP="00380DCA">
            <w:pPr>
              <w:spacing w:line="240" w:lineRule="auto"/>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2E6D" w:rsidRDefault="00B02E6D" w:rsidP="00380DCA">
            <w:pPr>
              <w:spacing w:line="240" w:lineRule="auto"/>
            </w:pPr>
          </w:p>
        </w:tc>
      </w:tr>
      <w:tr w:rsidR="00B02E6D" w:rsidTr="00B02E6D">
        <w:trPr>
          <w:cantSplit/>
          <w:trHeight w:val="1540"/>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2E6D" w:rsidRPr="00B02E6D" w:rsidRDefault="00B02E6D" w:rsidP="00B02E6D">
            <w:pPr>
              <w:pStyle w:val="dots"/>
              <w:numPr>
                <w:ilvl w:val="0"/>
                <w:numId w:val="0"/>
              </w:numPr>
              <w:rPr>
                <w:rFonts w:ascii="Arial Bold" w:hAnsi="Arial Bold"/>
                <w:sz w:val="22"/>
                <w:szCs w:val="22"/>
              </w:rPr>
            </w:pPr>
            <w:r w:rsidRPr="00B02E6D">
              <w:rPr>
                <w:rFonts w:ascii="Arial Bold" w:hAnsi="Arial Bold"/>
                <w:sz w:val="22"/>
                <w:szCs w:val="22"/>
              </w:rPr>
              <w:t>Analysis</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2E6D" w:rsidRDefault="00B02E6D" w:rsidP="00380DCA">
            <w:pPr>
              <w:spacing w:line="240" w:lineRule="auto"/>
              <w:rPr>
                <w:sz w:val="20"/>
              </w:rPr>
            </w:pPr>
          </w:p>
          <w:p w:rsidR="00B02E6D" w:rsidRDefault="00B02E6D" w:rsidP="00380DCA">
            <w:pPr>
              <w:spacing w:line="240" w:lineRule="auto"/>
              <w:rPr>
                <w:sz w:val="20"/>
              </w:rPr>
            </w:pPr>
          </w:p>
          <w:p w:rsidR="00B02E6D" w:rsidRDefault="00B02E6D" w:rsidP="00380DCA">
            <w:pPr>
              <w:spacing w:line="240" w:lineRule="auto"/>
              <w:rPr>
                <w:sz w:val="20"/>
              </w:rPr>
            </w:pPr>
          </w:p>
          <w:p w:rsidR="00B02E6D" w:rsidRDefault="00B02E6D" w:rsidP="00380DCA">
            <w:pPr>
              <w:spacing w:line="240" w:lineRule="auto"/>
              <w:rPr>
                <w:sz w:val="20"/>
              </w:rPr>
            </w:pPr>
          </w:p>
          <w:p w:rsidR="00B02E6D" w:rsidRDefault="00B02E6D" w:rsidP="00380DCA">
            <w:pPr>
              <w:spacing w:line="240" w:lineRule="auto"/>
              <w:rPr>
                <w:sz w:val="20"/>
              </w:rPr>
            </w:pPr>
          </w:p>
          <w:p w:rsidR="00B02E6D" w:rsidRDefault="00B02E6D" w:rsidP="00380DCA">
            <w:pPr>
              <w:spacing w:line="240" w:lineRule="auto"/>
              <w:rPr>
                <w:sz w:val="20"/>
              </w:rPr>
            </w:pPr>
          </w:p>
          <w:p w:rsidR="00B02E6D" w:rsidRDefault="00B02E6D" w:rsidP="00380DCA">
            <w:pPr>
              <w:spacing w:line="240" w:lineRule="auto"/>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2E6D" w:rsidRDefault="00B02E6D" w:rsidP="00380DCA">
            <w:pPr>
              <w:spacing w:line="240" w:lineRule="auto"/>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2E6D" w:rsidRDefault="00B02E6D" w:rsidP="00380DCA">
            <w:pPr>
              <w:spacing w:line="240" w:lineRule="auto"/>
            </w:pPr>
          </w:p>
        </w:tc>
      </w:tr>
      <w:tr w:rsidR="00B02E6D" w:rsidTr="00B02E6D">
        <w:trPr>
          <w:cantSplit/>
          <w:trHeight w:val="1540"/>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2E6D" w:rsidRPr="00B02E6D" w:rsidRDefault="00B02E6D" w:rsidP="00B02E6D">
            <w:pPr>
              <w:pStyle w:val="dots"/>
              <w:numPr>
                <w:ilvl w:val="0"/>
                <w:numId w:val="0"/>
              </w:numPr>
              <w:rPr>
                <w:rFonts w:ascii="Arial Bold" w:hAnsi="Arial Bold"/>
                <w:sz w:val="22"/>
                <w:szCs w:val="22"/>
              </w:rPr>
            </w:pPr>
            <w:r w:rsidRPr="00B02E6D">
              <w:rPr>
                <w:rFonts w:ascii="Arial Bold" w:hAnsi="Arial Bold"/>
                <w:sz w:val="22"/>
                <w:szCs w:val="22"/>
              </w:rPr>
              <w:t>Access to Learning Environment</w:t>
            </w:r>
          </w:p>
          <w:p w:rsidR="00B02E6D" w:rsidRPr="00B02E6D" w:rsidRDefault="00B02E6D" w:rsidP="00B02E6D">
            <w:pPr>
              <w:pStyle w:val="dots"/>
              <w:numPr>
                <w:ilvl w:val="0"/>
                <w:numId w:val="0"/>
              </w:numPr>
              <w:rPr>
                <w:rFonts w:ascii="Arial Bold" w:hAnsi="Arial Bold"/>
                <w:sz w:val="22"/>
                <w:szCs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2E6D" w:rsidRDefault="00B02E6D" w:rsidP="00380DCA">
            <w:pPr>
              <w:spacing w:line="240" w:lineRule="auto"/>
              <w:rPr>
                <w:sz w:val="20"/>
              </w:rPr>
            </w:pPr>
          </w:p>
          <w:p w:rsidR="00B02E6D" w:rsidRDefault="00B02E6D" w:rsidP="00380DCA">
            <w:pPr>
              <w:spacing w:line="240" w:lineRule="auto"/>
              <w:rPr>
                <w:sz w:val="20"/>
              </w:rPr>
            </w:pPr>
          </w:p>
          <w:p w:rsidR="00B02E6D" w:rsidRDefault="00B02E6D" w:rsidP="00380DCA">
            <w:pPr>
              <w:spacing w:line="240" w:lineRule="auto"/>
              <w:rPr>
                <w:sz w:val="20"/>
              </w:rPr>
            </w:pPr>
          </w:p>
          <w:p w:rsidR="00B02E6D" w:rsidRDefault="00B02E6D" w:rsidP="00380DCA">
            <w:pPr>
              <w:spacing w:line="240" w:lineRule="auto"/>
              <w:rPr>
                <w:sz w:val="20"/>
              </w:rPr>
            </w:pPr>
          </w:p>
          <w:p w:rsidR="00B02E6D" w:rsidRDefault="00B02E6D" w:rsidP="00380DCA">
            <w:pPr>
              <w:spacing w:line="240" w:lineRule="auto"/>
              <w:rPr>
                <w:sz w:val="20"/>
              </w:rPr>
            </w:pPr>
          </w:p>
          <w:p w:rsidR="00B02E6D" w:rsidRDefault="00B02E6D" w:rsidP="00380DCA">
            <w:pPr>
              <w:spacing w:line="240" w:lineRule="auto"/>
              <w:rPr>
                <w:sz w:val="20"/>
              </w:rPr>
            </w:pPr>
          </w:p>
          <w:p w:rsidR="00B02E6D" w:rsidRDefault="00B02E6D" w:rsidP="00380DCA">
            <w:pPr>
              <w:spacing w:line="240" w:lineRule="auto"/>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2E6D" w:rsidRDefault="00B02E6D" w:rsidP="00380DCA">
            <w:pPr>
              <w:spacing w:line="240" w:lineRule="auto"/>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2E6D" w:rsidRDefault="00B02E6D" w:rsidP="00380DCA">
            <w:pPr>
              <w:spacing w:line="240" w:lineRule="auto"/>
            </w:pPr>
          </w:p>
        </w:tc>
      </w:tr>
      <w:tr w:rsidR="00B02E6D" w:rsidTr="00B02E6D">
        <w:trPr>
          <w:cantSplit/>
          <w:trHeight w:val="1540"/>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2E6D" w:rsidRPr="00B02E6D" w:rsidRDefault="00B02E6D" w:rsidP="00B02E6D">
            <w:pPr>
              <w:pStyle w:val="dots"/>
              <w:numPr>
                <w:ilvl w:val="0"/>
                <w:numId w:val="0"/>
              </w:numPr>
              <w:rPr>
                <w:rFonts w:ascii="Arial Bold" w:hAnsi="Arial Bold"/>
                <w:sz w:val="22"/>
                <w:szCs w:val="22"/>
              </w:rPr>
            </w:pPr>
            <w:r w:rsidRPr="00B02E6D">
              <w:rPr>
                <w:rFonts w:ascii="Arial Bold" w:hAnsi="Arial Bold"/>
                <w:sz w:val="22"/>
                <w:szCs w:val="22"/>
              </w:rPr>
              <w:t>Teaching and Learning</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2E6D" w:rsidRDefault="00B02E6D" w:rsidP="00380DCA">
            <w:pPr>
              <w:spacing w:line="240" w:lineRule="auto"/>
              <w:rPr>
                <w:sz w:val="20"/>
              </w:rPr>
            </w:pPr>
          </w:p>
          <w:p w:rsidR="00B02E6D" w:rsidRDefault="00B02E6D" w:rsidP="00380DCA">
            <w:pPr>
              <w:spacing w:line="240" w:lineRule="auto"/>
              <w:rPr>
                <w:sz w:val="20"/>
              </w:rPr>
            </w:pPr>
          </w:p>
          <w:p w:rsidR="00B02E6D" w:rsidRDefault="00B02E6D" w:rsidP="00380DCA">
            <w:pPr>
              <w:spacing w:line="240" w:lineRule="auto"/>
              <w:rPr>
                <w:sz w:val="20"/>
              </w:rPr>
            </w:pPr>
          </w:p>
          <w:p w:rsidR="00B02E6D" w:rsidRDefault="00B02E6D" w:rsidP="00380DCA">
            <w:pPr>
              <w:spacing w:line="240" w:lineRule="auto"/>
              <w:rPr>
                <w:sz w:val="20"/>
              </w:rPr>
            </w:pPr>
          </w:p>
          <w:p w:rsidR="00B02E6D" w:rsidRDefault="00B02E6D" w:rsidP="00380DCA">
            <w:pPr>
              <w:spacing w:line="240" w:lineRule="auto"/>
              <w:rPr>
                <w:sz w:val="20"/>
              </w:rPr>
            </w:pPr>
          </w:p>
          <w:p w:rsidR="00B02E6D" w:rsidRDefault="00B02E6D" w:rsidP="00380DCA">
            <w:pPr>
              <w:spacing w:line="240" w:lineRule="auto"/>
              <w:rPr>
                <w:sz w:val="20"/>
              </w:rPr>
            </w:pPr>
          </w:p>
          <w:p w:rsidR="00B02E6D" w:rsidRDefault="00B02E6D" w:rsidP="00380DCA">
            <w:pPr>
              <w:spacing w:line="240" w:lineRule="auto"/>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2E6D" w:rsidRDefault="00B02E6D" w:rsidP="00380DCA">
            <w:pPr>
              <w:spacing w:line="240" w:lineRule="auto"/>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2E6D" w:rsidRDefault="00B02E6D" w:rsidP="00380DCA">
            <w:pPr>
              <w:spacing w:line="240" w:lineRule="auto"/>
            </w:pPr>
          </w:p>
        </w:tc>
      </w:tr>
      <w:tr w:rsidR="00B02E6D" w:rsidTr="00B02E6D">
        <w:trPr>
          <w:cantSplit/>
          <w:trHeight w:val="1540"/>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2E6D" w:rsidRPr="00B02E6D" w:rsidRDefault="00B02E6D" w:rsidP="00B02E6D">
            <w:pPr>
              <w:pStyle w:val="dots"/>
              <w:numPr>
                <w:ilvl w:val="0"/>
                <w:numId w:val="0"/>
              </w:numPr>
              <w:rPr>
                <w:rFonts w:ascii="Arial Bold" w:hAnsi="Arial Bold"/>
                <w:sz w:val="22"/>
                <w:szCs w:val="22"/>
              </w:rPr>
            </w:pPr>
            <w:r w:rsidRPr="00B02E6D">
              <w:rPr>
                <w:rFonts w:ascii="Arial Bold" w:hAnsi="Arial Bold"/>
                <w:sz w:val="22"/>
                <w:szCs w:val="22"/>
              </w:rPr>
              <w:t>Teachers and Other Education Personnel</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2E6D" w:rsidRDefault="00B02E6D" w:rsidP="00380DCA">
            <w:pPr>
              <w:spacing w:line="240" w:lineRule="auto"/>
              <w:rPr>
                <w:sz w:val="20"/>
              </w:rPr>
            </w:pPr>
          </w:p>
          <w:p w:rsidR="00B02E6D" w:rsidRDefault="00B02E6D" w:rsidP="00380DCA">
            <w:pPr>
              <w:spacing w:line="240" w:lineRule="auto"/>
              <w:rPr>
                <w:sz w:val="20"/>
              </w:rPr>
            </w:pPr>
          </w:p>
          <w:p w:rsidR="00B02E6D" w:rsidRDefault="00B02E6D" w:rsidP="00380DCA">
            <w:pPr>
              <w:spacing w:line="240" w:lineRule="auto"/>
              <w:rPr>
                <w:sz w:val="20"/>
              </w:rPr>
            </w:pPr>
          </w:p>
          <w:p w:rsidR="00B02E6D" w:rsidRDefault="00B02E6D" w:rsidP="00380DCA">
            <w:pPr>
              <w:spacing w:line="240" w:lineRule="auto"/>
              <w:rPr>
                <w:sz w:val="20"/>
              </w:rPr>
            </w:pPr>
          </w:p>
          <w:p w:rsidR="00B02E6D" w:rsidRDefault="00B02E6D" w:rsidP="00380DCA">
            <w:pPr>
              <w:spacing w:line="240" w:lineRule="auto"/>
              <w:rPr>
                <w:sz w:val="20"/>
              </w:rPr>
            </w:pPr>
          </w:p>
          <w:p w:rsidR="00B02E6D" w:rsidRDefault="00B02E6D" w:rsidP="00380DCA">
            <w:pPr>
              <w:spacing w:line="240" w:lineRule="auto"/>
              <w:rPr>
                <w:sz w:val="20"/>
              </w:rPr>
            </w:pPr>
          </w:p>
          <w:p w:rsidR="00B02E6D" w:rsidRDefault="00B02E6D" w:rsidP="00380DCA">
            <w:pPr>
              <w:spacing w:line="240" w:lineRule="auto"/>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2E6D" w:rsidRDefault="00B02E6D" w:rsidP="00380DCA">
            <w:pPr>
              <w:spacing w:line="240" w:lineRule="auto"/>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2E6D" w:rsidRDefault="00B02E6D" w:rsidP="00380DCA">
            <w:pPr>
              <w:spacing w:line="240" w:lineRule="auto"/>
            </w:pPr>
          </w:p>
        </w:tc>
      </w:tr>
      <w:tr w:rsidR="00B02E6D" w:rsidTr="00B02E6D">
        <w:trPr>
          <w:cantSplit/>
          <w:trHeight w:val="1430"/>
        </w:trPr>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2E6D" w:rsidRPr="00B02E6D" w:rsidRDefault="00B02E6D" w:rsidP="00B02E6D">
            <w:pPr>
              <w:pStyle w:val="dots"/>
              <w:numPr>
                <w:ilvl w:val="0"/>
                <w:numId w:val="0"/>
              </w:numPr>
              <w:rPr>
                <w:rFonts w:ascii="Arial Bold" w:hAnsi="Arial Bold"/>
                <w:sz w:val="22"/>
                <w:szCs w:val="22"/>
              </w:rPr>
            </w:pPr>
            <w:r w:rsidRPr="00B02E6D">
              <w:rPr>
                <w:rFonts w:ascii="Arial Bold" w:hAnsi="Arial Bold"/>
                <w:sz w:val="22"/>
                <w:szCs w:val="22"/>
              </w:rPr>
              <w:t>Education Policy</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2E6D" w:rsidRDefault="00B02E6D" w:rsidP="00380DCA">
            <w:pPr>
              <w:spacing w:line="240" w:lineRule="auto"/>
              <w:rPr>
                <w:sz w:val="20"/>
              </w:rPr>
            </w:pPr>
          </w:p>
          <w:p w:rsidR="00B02E6D" w:rsidRDefault="00B02E6D" w:rsidP="00380DCA">
            <w:pPr>
              <w:spacing w:line="240" w:lineRule="auto"/>
              <w:rPr>
                <w:sz w:val="20"/>
              </w:rPr>
            </w:pPr>
          </w:p>
          <w:p w:rsidR="00B02E6D" w:rsidRDefault="00B02E6D" w:rsidP="00380DCA">
            <w:pPr>
              <w:spacing w:line="240" w:lineRule="auto"/>
              <w:rPr>
                <w:sz w:val="20"/>
              </w:rPr>
            </w:pPr>
          </w:p>
          <w:p w:rsidR="00B02E6D" w:rsidRDefault="00B02E6D" w:rsidP="00380DCA">
            <w:pPr>
              <w:spacing w:line="240" w:lineRule="auto"/>
              <w:rPr>
                <w:sz w:val="20"/>
              </w:rPr>
            </w:pPr>
          </w:p>
          <w:p w:rsidR="00B02E6D" w:rsidRDefault="00B02E6D" w:rsidP="00380DCA">
            <w:pPr>
              <w:spacing w:line="240" w:lineRule="auto"/>
              <w:rPr>
                <w:sz w:val="20"/>
              </w:rPr>
            </w:pPr>
          </w:p>
          <w:p w:rsidR="00B02E6D" w:rsidRDefault="00B02E6D" w:rsidP="00380DCA">
            <w:pPr>
              <w:spacing w:line="240" w:lineRule="auto"/>
              <w:rPr>
                <w:sz w:val="20"/>
              </w:rPr>
            </w:pPr>
          </w:p>
          <w:p w:rsidR="00B02E6D" w:rsidRDefault="00B02E6D" w:rsidP="00380DCA">
            <w:pPr>
              <w:spacing w:line="240" w:lineRule="auto"/>
            </w:pPr>
          </w:p>
        </w:tc>
        <w:tc>
          <w:tcPr>
            <w:tcW w:w="240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2E6D" w:rsidRDefault="00B02E6D" w:rsidP="00380DCA">
            <w:pPr>
              <w:spacing w:line="240" w:lineRule="auto"/>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2E6D" w:rsidRDefault="00B02E6D" w:rsidP="00380DCA">
            <w:pPr>
              <w:spacing w:line="240" w:lineRule="auto"/>
            </w:pPr>
          </w:p>
        </w:tc>
      </w:tr>
    </w:tbl>
    <w:p w:rsidR="00B02E6D" w:rsidRDefault="00B02E6D" w:rsidP="00B02E6D">
      <w:pPr>
        <w:spacing w:after="200"/>
        <w:rPr>
          <w:rFonts w:ascii="Arial" w:hAnsi="Arial" w:cs="Arial"/>
          <w:sz w:val="20"/>
          <w:szCs w:val="20"/>
        </w:rPr>
      </w:pPr>
    </w:p>
    <w:p w:rsidR="00B02E6D" w:rsidRPr="00813AD0" w:rsidRDefault="00B02E6D" w:rsidP="00B02E6D">
      <w:pPr>
        <w:spacing w:after="200"/>
        <w:rPr>
          <w:rFonts w:ascii="Arial" w:hAnsi="Arial" w:cs="Arial"/>
          <w:sz w:val="20"/>
          <w:szCs w:val="20"/>
        </w:rPr>
      </w:pPr>
    </w:p>
    <w:p w:rsidR="00B02E6D" w:rsidRPr="008D301B" w:rsidRDefault="00B02E6D" w:rsidP="00B02E6D">
      <w:pPr>
        <w:pageBreakBefore/>
        <w:pBdr>
          <w:top w:val="single" w:sz="4" w:space="1" w:color="auto"/>
          <w:left w:val="single" w:sz="4" w:space="4" w:color="auto"/>
          <w:bottom w:val="single" w:sz="4" w:space="1" w:color="auto"/>
          <w:right w:val="single" w:sz="4" w:space="4" w:color="auto"/>
        </w:pBdr>
        <w:tabs>
          <w:tab w:val="left" w:pos="4320"/>
        </w:tabs>
        <w:jc w:val="center"/>
        <w:rPr>
          <w:rFonts w:ascii="Arial" w:hAnsi="Arial" w:cs="Arial"/>
          <w:b/>
          <w:sz w:val="22"/>
          <w:szCs w:val="22"/>
        </w:rPr>
      </w:pPr>
      <w:r>
        <w:rPr>
          <w:rFonts w:ascii="Arial" w:hAnsi="Arial" w:cs="Arial"/>
          <w:b/>
          <w:sz w:val="22"/>
          <w:szCs w:val="22"/>
        </w:rPr>
        <w:lastRenderedPageBreak/>
        <w:t>Handout 2.4</w:t>
      </w:r>
      <w:r w:rsidRPr="008D301B">
        <w:rPr>
          <w:rFonts w:ascii="Arial" w:hAnsi="Arial" w:cs="Arial"/>
          <w:b/>
          <w:sz w:val="22"/>
          <w:szCs w:val="22"/>
        </w:rPr>
        <w:t xml:space="preserve"> </w:t>
      </w:r>
      <w:r>
        <w:rPr>
          <w:rFonts w:ascii="Arial" w:hAnsi="Arial" w:cs="Arial"/>
          <w:b/>
          <w:sz w:val="22"/>
          <w:szCs w:val="22"/>
        </w:rPr>
        <w:t>–</w:t>
      </w:r>
      <w:r w:rsidRPr="008D301B">
        <w:rPr>
          <w:rFonts w:ascii="Arial" w:hAnsi="Arial" w:cs="Arial"/>
          <w:b/>
          <w:sz w:val="22"/>
          <w:szCs w:val="22"/>
        </w:rPr>
        <w:t xml:space="preserve"> </w:t>
      </w:r>
      <w:r w:rsidRPr="00B02E6D">
        <w:rPr>
          <w:rFonts w:ascii="Arial" w:hAnsi="Arial" w:cs="Arial"/>
          <w:b/>
          <w:sz w:val="22"/>
          <w:szCs w:val="22"/>
        </w:rPr>
        <w:t>Minimum Standards map [electronic and also on the back cover of the INEE Handbook]</w:t>
      </w:r>
    </w:p>
    <w:p w:rsidR="00B02E6D" w:rsidRDefault="00B02E6D" w:rsidP="00B02E6D">
      <w:pPr>
        <w:spacing w:after="200"/>
        <w:rPr>
          <w:rFonts w:ascii="Arial" w:hAnsi="Arial" w:cs="Arial"/>
          <w:sz w:val="20"/>
          <w:szCs w:val="20"/>
        </w:rPr>
      </w:pPr>
      <w:r>
        <w:rPr>
          <w:rFonts w:ascii="Arial" w:hAnsi="Arial" w:cs="Arial"/>
          <w:sz w:val="20"/>
          <w:szCs w:val="20"/>
        </w:rPr>
        <w:t>See additional .</w:t>
      </w:r>
      <w:proofErr w:type="spellStart"/>
      <w:r>
        <w:rPr>
          <w:rFonts w:ascii="Arial" w:hAnsi="Arial" w:cs="Arial"/>
          <w:sz w:val="20"/>
          <w:szCs w:val="20"/>
        </w:rPr>
        <w:t>pdf</w:t>
      </w:r>
      <w:proofErr w:type="spellEnd"/>
      <w:r>
        <w:rPr>
          <w:rFonts w:ascii="Arial" w:hAnsi="Arial" w:cs="Arial"/>
          <w:sz w:val="20"/>
          <w:szCs w:val="20"/>
        </w:rPr>
        <w:t xml:space="preserve"> file</w:t>
      </w:r>
    </w:p>
    <w:p w:rsidR="00B02E6D" w:rsidRDefault="00B02E6D" w:rsidP="00B02E6D">
      <w:pPr>
        <w:spacing w:after="200"/>
        <w:rPr>
          <w:rFonts w:ascii="Arial" w:hAnsi="Arial" w:cs="Arial"/>
          <w:sz w:val="20"/>
          <w:szCs w:val="20"/>
        </w:rPr>
      </w:pPr>
    </w:p>
    <w:p w:rsidR="00B02E6D" w:rsidRDefault="00B02E6D" w:rsidP="00B02E6D">
      <w:pPr>
        <w:spacing w:after="200"/>
        <w:rPr>
          <w:rFonts w:ascii="Arial" w:hAnsi="Arial" w:cs="Arial"/>
          <w:sz w:val="20"/>
          <w:szCs w:val="20"/>
        </w:rPr>
      </w:pPr>
    </w:p>
    <w:p w:rsidR="00B02E6D" w:rsidRPr="00813AD0" w:rsidRDefault="00B02E6D" w:rsidP="00B02E6D">
      <w:pPr>
        <w:spacing w:after="200"/>
        <w:rPr>
          <w:rFonts w:ascii="Arial" w:hAnsi="Arial" w:cs="Arial"/>
          <w:sz w:val="20"/>
          <w:szCs w:val="20"/>
        </w:rPr>
      </w:pPr>
    </w:p>
    <w:p w:rsidR="00B02E6D" w:rsidRPr="008D301B" w:rsidRDefault="00B02E6D" w:rsidP="00B02E6D">
      <w:pPr>
        <w:pageBreakBefore/>
        <w:pBdr>
          <w:top w:val="single" w:sz="4" w:space="1" w:color="auto"/>
          <w:left w:val="single" w:sz="4" w:space="4" w:color="auto"/>
          <w:bottom w:val="single" w:sz="4" w:space="1" w:color="auto"/>
          <w:right w:val="single" w:sz="4" w:space="4" w:color="auto"/>
        </w:pBdr>
        <w:tabs>
          <w:tab w:val="left" w:pos="4320"/>
        </w:tabs>
        <w:jc w:val="center"/>
        <w:rPr>
          <w:rFonts w:ascii="Arial" w:hAnsi="Arial" w:cs="Arial"/>
          <w:b/>
          <w:sz w:val="22"/>
          <w:szCs w:val="22"/>
        </w:rPr>
      </w:pPr>
      <w:r>
        <w:rPr>
          <w:rFonts w:ascii="Arial" w:hAnsi="Arial" w:cs="Arial"/>
          <w:b/>
          <w:sz w:val="22"/>
          <w:szCs w:val="22"/>
        </w:rPr>
        <w:lastRenderedPageBreak/>
        <w:t>Handout 2.5 -</w:t>
      </w:r>
      <w:r w:rsidRPr="00B02E6D">
        <w:rPr>
          <w:rFonts w:ascii="Arial" w:hAnsi="Arial" w:cs="Arial"/>
          <w:b/>
          <w:sz w:val="22"/>
          <w:szCs w:val="22"/>
        </w:rPr>
        <w:t xml:space="preserve"> Uses of the Minimum Studies: Case Studies</w:t>
      </w:r>
    </w:p>
    <w:p w:rsidR="00B02E6D" w:rsidRDefault="00B02E6D" w:rsidP="00B02E6D">
      <w:pPr>
        <w:tabs>
          <w:tab w:val="left" w:pos="360"/>
        </w:tabs>
        <w:spacing w:line="240" w:lineRule="auto"/>
        <w:jc w:val="both"/>
        <w:rPr>
          <w:rFonts w:ascii="Arial Bold" w:hAnsi="Arial Bold"/>
          <w:sz w:val="20"/>
        </w:rPr>
      </w:pPr>
    </w:p>
    <w:p w:rsidR="00B02E6D" w:rsidRPr="00B02E6D" w:rsidRDefault="00B02E6D" w:rsidP="00B02E6D">
      <w:pPr>
        <w:tabs>
          <w:tab w:val="left" w:pos="360"/>
        </w:tabs>
        <w:spacing w:line="240" w:lineRule="auto"/>
        <w:jc w:val="both"/>
        <w:rPr>
          <w:rFonts w:ascii="Arial" w:hAnsi="Arial"/>
          <w:sz w:val="20"/>
          <w:lang w:val="en-US"/>
        </w:rPr>
      </w:pPr>
      <w:r>
        <w:rPr>
          <w:rFonts w:ascii="Arial Bold" w:hAnsi="Arial Bold"/>
          <w:sz w:val="20"/>
        </w:rPr>
        <w:t>Example 1: School rehabilitation in Iraq:</w:t>
      </w:r>
      <w:r>
        <w:rPr>
          <w:rFonts w:ascii="Arial" w:hAnsi="Arial"/>
          <w:sz w:val="20"/>
        </w:rPr>
        <w:t xml:space="preserve"> Following fighting that had led people to flee their </w:t>
      </w:r>
      <w:proofErr w:type="gramStart"/>
      <w:r>
        <w:rPr>
          <w:rFonts w:ascii="Arial" w:hAnsi="Arial"/>
          <w:sz w:val="20"/>
        </w:rPr>
        <w:t>homes,</w:t>
      </w:r>
      <w:proofErr w:type="gramEnd"/>
      <w:r>
        <w:rPr>
          <w:rFonts w:ascii="Arial" w:hAnsi="Arial"/>
          <w:sz w:val="20"/>
        </w:rPr>
        <w:t xml:space="preserve"> the INEE Minimum Standards were used to inform the rehabilitation of five public schools in the city of Fallujah. In 2007, students, parents and teachers, both returnees and people who had stayed during the fighting, took part in focus group discussions to identify priority areas in the school rehabilitation programme. Drawing on the guidance in the Community Participation standards and Access and Learning Environment domain, water and sanitation and preparation of classrooms were prioritised, and a Community Education Committee (CEC) was formed. To ensure the participation of women in the CEC, female project staff met with mothers and young female students in their homes to identify </w:t>
      </w:r>
      <w:r w:rsidRPr="00B02E6D">
        <w:rPr>
          <w:rFonts w:ascii="Arial" w:hAnsi="Arial"/>
          <w:sz w:val="20"/>
        </w:rPr>
        <w:t xml:space="preserve">reasons for low female enrolment in school. Concerns about safety for girls going to school were addressed by arranging for female students to walk to school together or with an escort. Unease about single male teachers working in schools </w:t>
      </w:r>
      <w:r w:rsidRPr="00B02E6D">
        <w:rPr>
          <w:rFonts w:ascii="Arial" w:hAnsi="Arial"/>
          <w:sz w:val="20"/>
          <w:lang w:val="en-US"/>
        </w:rPr>
        <w:t>led the CEC to work with the school administration to increase the transparency of recruitment procedures. This reassured families that teachers could be trusted to act responsibly with their children and helped to increase enrolment.</w:t>
      </w:r>
    </w:p>
    <w:p w:rsidR="00B02E6D" w:rsidRDefault="00B02E6D" w:rsidP="00B02E6D">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Arial" w:hAnsi="Arial"/>
          <w:color w:val="04204F"/>
          <w:sz w:val="20"/>
          <w:lang w:val="en-US"/>
        </w:rPr>
      </w:pPr>
    </w:p>
    <w:p w:rsidR="00B02E6D" w:rsidRPr="00B02E6D" w:rsidRDefault="00B02E6D" w:rsidP="00B02E6D">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Arial" w:hAnsi="Arial"/>
          <w:color w:val="auto"/>
          <w:sz w:val="20"/>
          <w:lang w:val="en-US"/>
        </w:rPr>
      </w:pPr>
      <w:r w:rsidRPr="00B02E6D">
        <w:rPr>
          <w:rFonts w:ascii="Arial Bold" w:hAnsi="Arial Bold"/>
          <w:color w:val="auto"/>
          <w:sz w:val="20"/>
          <w:lang w:val="en-US"/>
        </w:rPr>
        <w:t xml:space="preserve">Example 2: Inter-agency coordination in the aftermath of the Indian Ocean tsunami: </w:t>
      </w:r>
      <w:r w:rsidRPr="00B02E6D">
        <w:rPr>
          <w:rFonts w:ascii="Arial" w:hAnsi="Arial"/>
          <w:color w:val="auto"/>
          <w:sz w:val="20"/>
          <w:lang w:val="en-US"/>
        </w:rPr>
        <w:t xml:space="preserve">Indonesia sustained the worst human losses and physical damage in the earthquake and tsunami of December 2004. In the province of Aceh, over 44,000 students and 2,500 teachers and education personnel were killed, and 150,000 surviving students lost access to proper education facilities. In the response, the INEE Minimum Standards were widely accepted </w:t>
      </w:r>
      <w:proofErr w:type="spellStart"/>
      <w:r w:rsidRPr="00B02E6D">
        <w:rPr>
          <w:rFonts w:ascii="Arial" w:hAnsi="Arial"/>
          <w:color w:val="auto"/>
          <w:sz w:val="20"/>
          <w:lang w:val="en-US"/>
        </w:rPr>
        <w:t>asa</w:t>
      </w:r>
      <w:proofErr w:type="spellEnd"/>
      <w:r w:rsidRPr="00B02E6D">
        <w:rPr>
          <w:rFonts w:ascii="Arial" w:hAnsi="Arial"/>
          <w:color w:val="auto"/>
          <w:sz w:val="20"/>
          <w:lang w:val="en-US"/>
        </w:rPr>
        <w:t xml:space="preserve"> relevant design and implementation tool, enabling a greater level of coordination and improved practice during the emergency phase. Using the Minimum Standard on Coordination, local authorities and international agencies formed an Education Coordination Committee, which met regularly in Banda Aceh. An inter-agency Minimum Standards Working Group trained agency staff to use the minimum standards, sharing experience and good practices. The handbook was swiftly translated into </w:t>
      </w:r>
      <w:proofErr w:type="spellStart"/>
      <w:r w:rsidRPr="00B02E6D">
        <w:rPr>
          <w:rFonts w:ascii="Arial" w:hAnsi="Arial"/>
          <w:color w:val="auto"/>
          <w:sz w:val="20"/>
          <w:lang w:val="en-US"/>
        </w:rPr>
        <w:t>Bahasa</w:t>
      </w:r>
      <w:proofErr w:type="spellEnd"/>
      <w:r w:rsidRPr="00B02E6D">
        <w:rPr>
          <w:rFonts w:ascii="Arial" w:hAnsi="Arial"/>
          <w:color w:val="auto"/>
          <w:sz w:val="20"/>
          <w:lang w:val="en-US"/>
        </w:rPr>
        <w:t xml:space="preserve"> Indonesian and used by the Aceh Provincial Ministry of Education. A key lesson learned was the importance of staff continuity in maintaining the pace of coordination and implementation in an acute emergency. The systematic inclusion of the INEE Minimum Standards trainings in the orientation of new staff has had a significant impact on improving coordination in such emergency contexts.</w:t>
      </w:r>
    </w:p>
    <w:p w:rsidR="00B02E6D" w:rsidRDefault="00B02E6D" w:rsidP="00B02E6D">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Arial" w:hAnsi="Arial"/>
          <w:color w:val="04204F"/>
          <w:sz w:val="20"/>
          <w:lang w:val="en-US"/>
        </w:rPr>
      </w:pPr>
    </w:p>
    <w:p w:rsidR="00B02E6D" w:rsidRPr="00B02E6D" w:rsidRDefault="00B02E6D" w:rsidP="00B02E6D">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Arial" w:hAnsi="Arial"/>
          <w:color w:val="auto"/>
          <w:sz w:val="20"/>
          <w:lang w:val="en-US"/>
        </w:rPr>
      </w:pPr>
      <w:r w:rsidRPr="00B02E6D">
        <w:rPr>
          <w:rFonts w:ascii="Helvetica" w:hAnsi="Helvetica"/>
          <w:b/>
          <w:color w:val="auto"/>
          <w:sz w:val="20"/>
          <w:lang w:val="en-US"/>
        </w:rPr>
        <w:t xml:space="preserve">Example 3: Strengthening donor policy: </w:t>
      </w:r>
      <w:r w:rsidRPr="00B02E6D">
        <w:rPr>
          <w:rFonts w:ascii="Helvetica" w:hAnsi="Helvetica"/>
          <w:color w:val="auto"/>
          <w:sz w:val="20"/>
          <w:lang w:val="en-US"/>
        </w:rPr>
        <w:t xml:space="preserve">Norway is one of five donors which directly refer to education as part of their humanitarian policy, and has been very supportive of INEE and the Minimum Standards. In 2007, the Norwegian Ministry of Foreign Affairs (MFA) created an Emergency Education Team, which is committed to ensuring increased awareness, practical application and systematic </w:t>
      </w:r>
      <w:proofErr w:type="spellStart"/>
      <w:r w:rsidRPr="00B02E6D">
        <w:rPr>
          <w:rFonts w:ascii="Helvetica" w:hAnsi="Helvetica"/>
          <w:color w:val="auto"/>
          <w:sz w:val="20"/>
          <w:lang w:val="en-US"/>
        </w:rPr>
        <w:t>utilisation</w:t>
      </w:r>
      <w:proofErr w:type="spellEnd"/>
      <w:r w:rsidRPr="00B02E6D">
        <w:rPr>
          <w:rFonts w:ascii="Helvetica" w:hAnsi="Helvetica"/>
          <w:color w:val="auto"/>
          <w:sz w:val="20"/>
          <w:lang w:val="en-US"/>
        </w:rPr>
        <w:t xml:space="preserve"> of the INEE Minimum Standards by the Norwegian Agency for Development (NORAD), the MFA and their partners. The Emergency Education Team advises the MFA and NORAD on grant allocations for education and shares relevant information from INEE Bulletins with appropriate colleagues. It recommends that </w:t>
      </w:r>
      <w:proofErr w:type="spellStart"/>
      <w:r w:rsidRPr="00B02E6D">
        <w:rPr>
          <w:rFonts w:ascii="Helvetica" w:hAnsi="Helvetica"/>
          <w:color w:val="auto"/>
          <w:sz w:val="20"/>
          <w:lang w:val="en-US"/>
        </w:rPr>
        <w:t>organisations</w:t>
      </w:r>
      <w:proofErr w:type="spellEnd"/>
      <w:r w:rsidRPr="00B02E6D">
        <w:rPr>
          <w:rFonts w:ascii="Helvetica" w:hAnsi="Helvetica"/>
          <w:color w:val="auto"/>
          <w:sz w:val="20"/>
          <w:lang w:val="en-US"/>
        </w:rPr>
        <w:t xml:space="preserve"> applying to NORAD for financial support should describe their use of the INEE Minimum Standards. The INEE Minimum Standards were included in the terms of reference of an annual joint donor mission to Southern Sudan in 2008, which included UNICEF, the World Bank and the European Union. NORAD thus promoted the use and </w:t>
      </w:r>
      <w:proofErr w:type="spellStart"/>
      <w:r w:rsidRPr="00B02E6D">
        <w:rPr>
          <w:rFonts w:ascii="Helvetica" w:hAnsi="Helvetica"/>
          <w:color w:val="auto"/>
          <w:sz w:val="20"/>
          <w:lang w:val="en-US"/>
        </w:rPr>
        <w:t>institutionalisation</w:t>
      </w:r>
      <w:proofErr w:type="spellEnd"/>
      <w:r w:rsidRPr="00B02E6D">
        <w:rPr>
          <w:rFonts w:ascii="Helvetica" w:hAnsi="Helvetica"/>
          <w:color w:val="auto"/>
          <w:sz w:val="20"/>
          <w:lang w:val="en-US"/>
        </w:rPr>
        <w:t xml:space="preserve"> of the INEE Minimum Standards by partner donor </w:t>
      </w:r>
      <w:proofErr w:type="spellStart"/>
      <w:r w:rsidRPr="00B02E6D">
        <w:rPr>
          <w:rFonts w:ascii="Helvetica" w:hAnsi="Helvetica"/>
          <w:color w:val="auto"/>
          <w:sz w:val="20"/>
          <w:lang w:val="en-US"/>
        </w:rPr>
        <w:t>organisations</w:t>
      </w:r>
      <w:proofErr w:type="spellEnd"/>
      <w:r w:rsidRPr="00B02E6D">
        <w:rPr>
          <w:rFonts w:ascii="Helvetica" w:hAnsi="Helvetica"/>
          <w:color w:val="auto"/>
          <w:sz w:val="20"/>
          <w:lang w:val="en-US"/>
        </w:rPr>
        <w:t xml:space="preserve"> and the Ministry of Education of South Sudan, which is responsible for the reconstruction of the education sector. NORAD has been supported in its </w:t>
      </w:r>
      <w:proofErr w:type="spellStart"/>
      <w:r w:rsidRPr="00B02E6D">
        <w:rPr>
          <w:rFonts w:ascii="Helvetica" w:hAnsi="Helvetica"/>
          <w:color w:val="auto"/>
          <w:sz w:val="20"/>
          <w:lang w:val="en-US"/>
        </w:rPr>
        <w:t>institutionalisation</w:t>
      </w:r>
      <w:proofErr w:type="spellEnd"/>
      <w:r w:rsidRPr="00B02E6D">
        <w:rPr>
          <w:rFonts w:ascii="Helvetica" w:hAnsi="Helvetica"/>
          <w:color w:val="auto"/>
          <w:sz w:val="20"/>
          <w:lang w:val="en-US"/>
        </w:rPr>
        <w:t xml:space="preserve"> of the Minimum Standards by key Norwegian NGOs which are members of INEE. The Emergency Education Team in turn encourages other Norwegian NGOs and research institutions to adopt and refer to the standards in their </w:t>
      </w:r>
      <w:proofErr w:type="spellStart"/>
      <w:r w:rsidRPr="00B02E6D">
        <w:rPr>
          <w:rFonts w:ascii="Helvetica" w:hAnsi="Helvetica"/>
          <w:color w:val="auto"/>
          <w:sz w:val="20"/>
          <w:lang w:val="en-US"/>
        </w:rPr>
        <w:t>programme</w:t>
      </w:r>
      <w:proofErr w:type="spellEnd"/>
      <w:r w:rsidRPr="00B02E6D">
        <w:rPr>
          <w:rFonts w:ascii="Helvetica" w:hAnsi="Helvetica"/>
          <w:color w:val="auto"/>
          <w:sz w:val="20"/>
          <w:lang w:val="en-US"/>
        </w:rPr>
        <w:t xml:space="preserve"> development. The Government of Norway’s support for INEE and its application of the INEE Minimum Standards reflect its leadership in global discussions and debates on education, in particular on teachers, gender and emergencies.</w:t>
      </w:r>
    </w:p>
    <w:p w:rsidR="00B02E6D" w:rsidRPr="00B02E6D" w:rsidRDefault="00B02E6D" w:rsidP="00B02E6D">
      <w:pPr>
        <w:tabs>
          <w:tab w:val="left" w:pos="360"/>
        </w:tabs>
        <w:spacing w:line="240" w:lineRule="auto"/>
        <w:jc w:val="both"/>
        <w:rPr>
          <w:rFonts w:ascii="Arial" w:hAnsi="Arial"/>
          <w:sz w:val="20"/>
        </w:rPr>
      </w:pPr>
    </w:p>
    <w:p w:rsidR="00B02E6D" w:rsidRPr="00B02E6D" w:rsidRDefault="00B02E6D" w:rsidP="00B02E6D">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line="240" w:lineRule="auto"/>
        <w:rPr>
          <w:rFonts w:ascii="Arial" w:hAnsi="Arial"/>
          <w:color w:val="auto"/>
          <w:sz w:val="20"/>
          <w:lang w:val="en-US"/>
        </w:rPr>
      </w:pPr>
      <w:r w:rsidRPr="00B02E6D">
        <w:rPr>
          <w:rFonts w:ascii="Helvetica" w:hAnsi="Helvetica"/>
          <w:color w:val="auto"/>
          <w:sz w:val="20"/>
          <w:lang w:val="en-US"/>
        </w:rPr>
        <w:t>For more examples on the application and impact of the INEE Minimum Standards around the world, go to: www.ineesite.org/MScasestudies.</w:t>
      </w:r>
    </w:p>
    <w:p w:rsidR="00B02E6D" w:rsidRDefault="00B02E6D" w:rsidP="00B02E6D">
      <w:pPr>
        <w:spacing w:after="200"/>
        <w:rPr>
          <w:rFonts w:ascii="Arial" w:hAnsi="Arial" w:cs="Arial"/>
          <w:sz w:val="20"/>
          <w:szCs w:val="20"/>
        </w:rPr>
      </w:pPr>
    </w:p>
    <w:p w:rsidR="005E0F95" w:rsidRDefault="005E0F95" w:rsidP="00B02E6D">
      <w:pPr>
        <w:spacing w:after="200"/>
        <w:rPr>
          <w:rFonts w:ascii="Arial" w:hAnsi="Arial" w:cs="Arial"/>
          <w:sz w:val="20"/>
          <w:szCs w:val="20"/>
        </w:rPr>
      </w:pPr>
    </w:p>
    <w:p w:rsidR="005E0F95" w:rsidRDefault="005E0F95">
      <w:pPr>
        <w:spacing w:after="200"/>
        <w:rPr>
          <w:rFonts w:ascii="Arial" w:hAnsi="Arial" w:cs="Arial"/>
          <w:sz w:val="20"/>
          <w:szCs w:val="20"/>
        </w:rPr>
      </w:pPr>
      <w:r>
        <w:rPr>
          <w:rFonts w:ascii="Arial" w:hAnsi="Arial" w:cs="Arial"/>
          <w:sz w:val="20"/>
          <w:szCs w:val="20"/>
        </w:rPr>
        <w:br w:type="page"/>
      </w:r>
    </w:p>
    <w:p w:rsidR="005E0F95" w:rsidRPr="005E0F95" w:rsidRDefault="005E0F95" w:rsidP="005E0F95">
      <w:pPr>
        <w:pageBreakBefore/>
        <w:pBdr>
          <w:top w:val="single" w:sz="4" w:space="1" w:color="auto"/>
          <w:left w:val="single" w:sz="4" w:space="4" w:color="auto"/>
          <w:bottom w:val="single" w:sz="4" w:space="1" w:color="auto"/>
          <w:right w:val="single" w:sz="4" w:space="4" w:color="auto"/>
        </w:pBdr>
        <w:tabs>
          <w:tab w:val="left" w:pos="4320"/>
        </w:tabs>
        <w:jc w:val="center"/>
        <w:rPr>
          <w:rFonts w:ascii="Arial" w:hAnsi="Arial" w:cs="Arial"/>
          <w:b/>
          <w:sz w:val="22"/>
          <w:szCs w:val="22"/>
        </w:rPr>
      </w:pPr>
      <w:r w:rsidRPr="005E0F95">
        <w:rPr>
          <w:rFonts w:ascii="Arial" w:hAnsi="Arial" w:cs="Arial"/>
          <w:b/>
          <w:sz w:val="22"/>
          <w:szCs w:val="22"/>
        </w:rPr>
        <w:lastRenderedPageBreak/>
        <w:t xml:space="preserve">Supplementary Exercise Handout </w:t>
      </w:r>
      <w:r w:rsidR="0075799A">
        <w:rPr>
          <w:rFonts w:ascii="Arial" w:hAnsi="Arial" w:cs="Arial"/>
          <w:b/>
          <w:sz w:val="22"/>
          <w:szCs w:val="22"/>
        </w:rPr>
        <w:t>2.6</w:t>
      </w:r>
      <w:r w:rsidRPr="005E0F95">
        <w:rPr>
          <w:rFonts w:ascii="Arial" w:hAnsi="Arial" w:cs="Arial"/>
          <w:b/>
          <w:sz w:val="22"/>
          <w:szCs w:val="22"/>
        </w:rPr>
        <w:t>: Teaching and Learning, Part II</w:t>
      </w:r>
    </w:p>
    <w:p w:rsidR="005E0F95" w:rsidRDefault="005E0F95" w:rsidP="005E0F95">
      <w:pPr>
        <w:rPr>
          <w:rFonts w:ascii="Arial" w:hAnsi="Arial" w:cs="Arial"/>
          <w:b/>
          <w:bCs/>
          <w:sz w:val="22"/>
        </w:rPr>
      </w:pPr>
    </w:p>
    <w:p w:rsidR="005E0F95" w:rsidRPr="00686AD2" w:rsidRDefault="005E0F95" w:rsidP="005E0F95">
      <w:pPr>
        <w:rPr>
          <w:rFonts w:ascii="Arial Bold" w:hAnsi="Arial Bold" w:cs="Arial"/>
          <w:b/>
          <w:bCs/>
          <w:sz w:val="28"/>
          <w:u w:val="single"/>
        </w:rPr>
      </w:pPr>
      <w:r w:rsidRPr="00525053">
        <w:rPr>
          <w:rFonts w:ascii="Arial Bold" w:hAnsi="Arial Bold" w:cs="Arial"/>
          <w:b/>
          <w:bCs/>
          <w:sz w:val="28"/>
        </w:rPr>
        <w:t xml:space="preserve">             </w:t>
      </w:r>
      <w:r>
        <w:rPr>
          <w:rFonts w:ascii="Arial Bold" w:hAnsi="Arial Bold" w:cs="Arial"/>
          <w:b/>
          <w:bCs/>
          <w:sz w:val="28"/>
        </w:rPr>
        <w:t xml:space="preserve">         </w:t>
      </w:r>
      <w:r w:rsidRPr="00525053">
        <w:rPr>
          <w:rFonts w:ascii="Arial Bold" w:hAnsi="Arial Bold" w:cs="Arial"/>
          <w:b/>
          <w:bCs/>
          <w:sz w:val="28"/>
          <w:u w:val="single"/>
        </w:rPr>
        <w:t>Scenario: Response in Iraq</w:t>
      </w:r>
    </w:p>
    <w:p w:rsidR="005E0F95" w:rsidRPr="00686AD2" w:rsidRDefault="005E0F95" w:rsidP="005E0F95">
      <w:pPr>
        <w:rPr>
          <w:rFonts w:ascii="Arial" w:hAnsi="Arial" w:cs="Arial"/>
          <w:sz w:val="20"/>
        </w:rPr>
      </w:pPr>
      <w:r w:rsidRPr="00686AD2">
        <w:rPr>
          <w:rFonts w:ascii="Arial" w:hAnsi="Arial" w:cs="Arial"/>
          <w:sz w:val="20"/>
        </w:rPr>
        <w:t xml:space="preserve">Prior to 1990, Iraq was a leader in education in the Middle East.  Recent reports from Iraq indicate that the education sector has been hard hit by decades of wars and armed conflict, sanctions, political manipulation, exodus of professionals, targeting of education professional, displacement of communities and individuals, and sanctions.  </w:t>
      </w:r>
    </w:p>
    <w:p w:rsidR="005E0F95" w:rsidRPr="00686AD2" w:rsidRDefault="005E0F95" w:rsidP="005E0F95">
      <w:pPr>
        <w:rPr>
          <w:rFonts w:ascii="Arial" w:hAnsi="Arial" w:cs="Arial"/>
          <w:sz w:val="20"/>
        </w:rPr>
      </w:pPr>
    </w:p>
    <w:p w:rsidR="005E0F95" w:rsidRPr="00686AD2" w:rsidRDefault="005E0F95" w:rsidP="005E0F95">
      <w:pPr>
        <w:rPr>
          <w:rFonts w:ascii="Arial" w:hAnsi="Arial" w:cs="Arial"/>
          <w:sz w:val="20"/>
        </w:rPr>
      </w:pPr>
      <w:r w:rsidRPr="00686AD2">
        <w:rPr>
          <w:rFonts w:ascii="Arial" w:hAnsi="Arial" w:cs="Arial"/>
          <w:sz w:val="20"/>
        </w:rPr>
        <w:t xml:space="preserve">In the last two decades, much of the government has become largely divided between Central Iraq (Arabic) and Kurdistan. Education plans, training of education personnel, and the development of curricula follow the same divisions and there is little collaboration or communication between Baghdad and Kurdistan. The two Ministries of Education have, in the past, travelled to a third country to conduct meetings and participate in joint trainings rather than travel internally due to security issues.  </w:t>
      </w:r>
    </w:p>
    <w:p w:rsidR="005E0F95" w:rsidRPr="00686AD2" w:rsidRDefault="005E0F95" w:rsidP="005E0F95">
      <w:pPr>
        <w:rPr>
          <w:rFonts w:ascii="Arial" w:hAnsi="Arial" w:cs="Arial"/>
          <w:sz w:val="20"/>
        </w:rPr>
      </w:pPr>
    </w:p>
    <w:p w:rsidR="005E0F95" w:rsidRPr="00686AD2" w:rsidRDefault="005E0F95" w:rsidP="005E0F95">
      <w:pPr>
        <w:rPr>
          <w:rFonts w:ascii="Arial" w:hAnsi="Arial" w:cs="Arial"/>
          <w:sz w:val="20"/>
        </w:rPr>
      </w:pPr>
      <w:r w:rsidRPr="00686AD2">
        <w:rPr>
          <w:rFonts w:ascii="Arial" w:hAnsi="Arial" w:cs="Arial"/>
          <w:sz w:val="20"/>
        </w:rPr>
        <w:t xml:space="preserve">Schools and classrooms are still very traditional in structure and based on rote learning.  Only a handful of schools in urban areas have electricity and functioning water and sanitation facilities.  Many have been damaged either in the conflict or through years of no maintenance.  Furniture is often inadequate or damaged and teachers and students often have limited access to teaching and learning materials.  </w:t>
      </w:r>
    </w:p>
    <w:p w:rsidR="005E0F95" w:rsidRPr="00686AD2" w:rsidRDefault="005E0F95" w:rsidP="005E0F95">
      <w:pPr>
        <w:rPr>
          <w:rFonts w:ascii="Arial" w:hAnsi="Arial" w:cs="Arial"/>
          <w:sz w:val="20"/>
        </w:rPr>
      </w:pPr>
    </w:p>
    <w:p w:rsidR="005E0F95" w:rsidRPr="00686AD2" w:rsidRDefault="005E0F95" w:rsidP="005E0F95">
      <w:pPr>
        <w:rPr>
          <w:rFonts w:ascii="Arial" w:hAnsi="Arial" w:cs="Arial"/>
          <w:sz w:val="20"/>
        </w:rPr>
      </w:pPr>
      <w:r w:rsidRPr="00686AD2">
        <w:rPr>
          <w:rFonts w:ascii="Arial" w:hAnsi="Arial" w:cs="Arial"/>
          <w:sz w:val="20"/>
        </w:rPr>
        <w:t xml:space="preserve">The vast majority of teachers have received formal training through one of the government training or university programmes; however, less than 10% have received substantial in-service training in the past two decades.  The few who have been trained in innovative teaching methodologies and psychosocial awareness have not received continued support and are unable to make significant changes in their teaching or classroom habits.  </w:t>
      </w:r>
    </w:p>
    <w:p w:rsidR="005E0F95" w:rsidRPr="00686AD2" w:rsidRDefault="005E0F95" w:rsidP="005E0F95">
      <w:pPr>
        <w:rPr>
          <w:rFonts w:ascii="Arial" w:hAnsi="Arial" w:cs="Arial"/>
          <w:sz w:val="20"/>
        </w:rPr>
      </w:pPr>
    </w:p>
    <w:p w:rsidR="005E0F95" w:rsidRPr="00686AD2" w:rsidRDefault="005E0F95" w:rsidP="005E0F95">
      <w:pPr>
        <w:rPr>
          <w:rFonts w:ascii="Arial" w:hAnsi="Arial" w:cs="Arial"/>
          <w:sz w:val="20"/>
        </w:rPr>
      </w:pPr>
      <w:r w:rsidRPr="00686AD2">
        <w:rPr>
          <w:rFonts w:ascii="Arial" w:hAnsi="Arial" w:cs="Arial"/>
          <w:sz w:val="20"/>
        </w:rPr>
        <w:t xml:space="preserve">The curriculum, however, has experienced significant changes during the past 7 years.  The previous curriculum developed under Hussein’s </w:t>
      </w:r>
      <w:proofErr w:type="spellStart"/>
      <w:r w:rsidRPr="00686AD2">
        <w:rPr>
          <w:rFonts w:ascii="Arial" w:hAnsi="Arial" w:cs="Arial"/>
          <w:sz w:val="20"/>
        </w:rPr>
        <w:t>ba’athist</w:t>
      </w:r>
      <w:proofErr w:type="spellEnd"/>
      <w:r w:rsidRPr="00686AD2">
        <w:rPr>
          <w:rFonts w:ascii="Arial" w:hAnsi="Arial" w:cs="Arial"/>
          <w:sz w:val="20"/>
        </w:rPr>
        <w:t xml:space="preserve"> regime was immediately discarded following the 2003 invasion.  Various stakeholders have been involved in curriculum design and </w:t>
      </w:r>
      <w:proofErr w:type="gramStart"/>
      <w:r w:rsidRPr="00686AD2">
        <w:rPr>
          <w:rFonts w:ascii="Arial" w:hAnsi="Arial" w:cs="Arial"/>
          <w:sz w:val="20"/>
        </w:rPr>
        <w:t>development,</w:t>
      </w:r>
      <w:proofErr w:type="gramEnd"/>
      <w:r w:rsidRPr="00686AD2">
        <w:rPr>
          <w:rFonts w:ascii="Arial" w:hAnsi="Arial" w:cs="Arial"/>
          <w:sz w:val="20"/>
        </w:rPr>
        <w:t xml:space="preserve"> the vast majority were international and national experts, the UN, and major international textbook companies.  </w:t>
      </w:r>
    </w:p>
    <w:p w:rsidR="005E0F95" w:rsidRPr="00686AD2" w:rsidRDefault="005E0F95" w:rsidP="005E0F95">
      <w:pPr>
        <w:rPr>
          <w:rFonts w:ascii="Arial" w:hAnsi="Arial" w:cs="Arial"/>
          <w:sz w:val="20"/>
        </w:rPr>
      </w:pPr>
    </w:p>
    <w:p w:rsidR="005E0F95" w:rsidRPr="00686AD2" w:rsidRDefault="005E0F95" w:rsidP="005E0F95">
      <w:pPr>
        <w:rPr>
          <w:rFonts w:ascii="Arial" w:hAnsi="Arial" w:cs="Arial"/>
          <w:sz w:val="20"/>
        </w:rPr>
      </w:pPr>
      <w:r w:rsidRPr="00686AD2">
        <w:rPr>
          <w:rFonts w:ascii="Arial" w:hAnsi="Arial" w:cs="Arial"/>
          <w:sz w:val="20"/>
        </w:rPr>
        <w:t xml:space="preserve">Students, parents and teachers have expressed concern that the current curriculum is “too hard” for both students and teachers, irrelevant to the needs of children in some communities, and requires tools and equipment that are unavailable for the vast majority of schools.  </w:t>
      </w:r>
    </w:p>
    <w:p w:rsidR="005E0F95" w:rsidRPr="00686AD2" w:rsidRDefault="005E0F95" w:rsidP="005E0F95">
      <w:pPr>
        <w:rPr>
          <w:rFonts w:ascii="Arial" w:hAnsi="Arial" w:cs="Arial"/>
          <w:sz w:val="20"/>
        </w:rPr>
      </w:pPr>
    </w:p>
    <w:p w:rsidR="005E0F95" w:rsidRPr="00686AD2" w:rsidRDefault="005E0F95" w:rsidP="005E0F95">
      <w:pPr>
        <w:rPr>
          <w:rFonts w:ascii="Arial" w:hAnsi="Arial" w:cs="Arial"/>
          <w:sz w:val="20"/>
        </w:rPr>
      </w:pPr>
      <w:r w:rsidRPr="00686AD2">
        <w:rPr>
          <w:rFonts w:ascii="Arial" w:hAnsi="Arial" w:cs="Arial"/>
          <w:sz w:val="20"/>
        </w:rPr>
        <w:t xml:space="preserve">Although schools hold information sessions for parents twice a year, the parents are not actively engaged in many schools.  Traditionally, education was the responsibility of the government and schools have not yet established and developed functional Parent/Teacher Associations or School Committees to monitor progress made and needs of students/teachers/school.  </w:t>
      </w:r>
    </w:p>
    <w:p w:rsidR="005E0F95" w:rsidRPr="00686AD2" w:rsidRDefault="005E0F95" w:rsidP="005E0F95">
      <w:pPr>
        <w:rPr>
          <w:rFonts w:ascii="Arial" w:hAnsi="Arial" w:cs="Arial"/>
          <w:sz w:val="20"/>
        </w:rPr>
      </w:pPr>
    </w:p>
    <w:p w:rsidR="005E0F95" w:rsidRPr="00686AD2" w:rsidRDefault="005E0F95" w:rsidP="005E0F95">
      <w:pPr>
        <w:rPr>
          <w:rFonts w:ascii="Arial" w:hAnsi="Arial" w:cs="Arial"/>
          <w:sz w:val="20"/>
        </w:rPr>
      </w:pPr>
      <w:r w:rsidRPr="00686AD2">
        <w:rPr>
          <w:rFonts w:ascii="Arial" w:hAnsi="Arial" w:cs="Arial"/>
          <w:sz w:val="20"/>
        </w:rPr>
        <w:t xml:space="preserve">There continues to be a significant number of families who are displaced to other Iraqi communities and to other countries.  There </w:t>
      </w:r>
      <w:proofErr w:type="gramStart"/>
      <w:r w:rsidRPr="00686AD2">
        <w:rPr>
          <w:rFonts w:ascii="Arial" w:hAnsi="Arial" w:cs="Arial"/>
          <w:sz w:val="20"/>
        </w:rPr>
        <w:t>is</w:t>
      </w:r>
      <w:proofErr w:type="gramEnd"/>
      <w:r w:rsidRPr="00686AD2">
        <w:rPr>
          <w:rFonts w:ascii="Arial" w:hAnsi="Arial" w:cs="Arial"/>
          <w:sz w:val="20"/>
        </w:rPr>
        <w:t xml:space="preserve"> an increasing number of young people who either never had access to education or were unable to complete their education in their home communities and have fallen outside the formal education system.  UNICEF and its implementing partners are supporting Accelerated Learning Programs for some of these children but are unable to monitor the schools due to security issues.</w:t>
      </w:r>
    </w:p>
    <w:p w:rsidR="005E0F95" w:rsidRDefault="005E0F95" w:rsidP="00B02E6D">
      <w:pPr>
        <w:spacing w:after="200"/>
        <w:rPr>
          <w:rFonts w:ascii="Arial" w:hAnsi="Arial" w:cs="Arial"/>
          <w:sz w:val="20"/>
          <w:szCs w:val="20"/>
        </w:rPr>
      </w:pPr>
    </w:p>
    <w:p w:rsidR="00991E73" w:rsidRDefault="00991E73" w:rsidP="00342592">
      <w:pPr>
        <w:rPr>
          <w:i/>
        </w:rPr>
      </w:pPr>
    </w:p>
    <w:sectPr w:rsidR="00991E73" w:rsidSect="006B2BF4">
      <w:footerReference w:type="default" r:id="rId27"/>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03C1" w:rsidRDefault="00E403C1" w:rsidP="002C7330">
      <w:pPr>
        <w:spacing w:line="240" w:lineRule="auto"/>
      </w:pPr>
      <w:r>
        <w:separator/>
      </w:r>
    </w:p>
  </w:endnote>
  <w:endnote w:type="continuationSeparator" w:id="0">
    <w:p w:rsidR="00E403C1" w:rsidRDefault="00E403C1" w:rsidP="002C733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ヒラギノ角ゴ Pro W3"/>
    <w:charset w:val="4E"/>
    <w:family w:val="auto"/>
    <w:pitch w:val="variable"/>
    <w:sig w:usb0="00000001" w:usb1="00000000" w:usb2="01000407" w:usb3="00000000" w:csb0="0002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Bold">
    <w:panose1 w:val="020B0704020202020204"/>
    <w:charset w:val="00"/>
    <w:family w:val="auto"/>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Italic">
    <w:panose1 w:val="020B0604020202090204"/>
    <w:charset w:val="00"/>
    <w:family w:val="roman"/>
    <w:notTrueType/>
    <w:pitch w:val="default"/>
    <w:sig w:usb0="00000000" w:usb1="00000000" w:usb2="00000000" w:usb3="00000000" w:csb0="00000000" w:csb1="00000000"/>
  </w:font>
  <w:font w:name="Arial Bold Italic">
    <w:panose1 w:val="020B0704020202090204"/>
    <w:charset w:val="00"/>
    <w:family w:val="auto"/>
    <w:pitch w:val="variable"/>
    <w:sig w:usb0="00000003" w:usb1="00000000" w:usb2="00000000" w:usb3="00000000" w:csb0="00000001" w:csb1="00000000"/>
  </w:font>
  <w:font w:name="ArialMS">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Italic" w:hAnsi="Arial Italic"/>
        <w:i/>
        <w:sz w:val="22"/>
      </w:rPr>
      <w:id w:val="15822851"/>
      <w:docPartObj>
        <w:docPartGallery w:val="Page Numbers (Bottom of Page)"/>
        <w:docPartUnique/>
      </w:docPartObj>
    </w:sdtPr>
    <w:sdtContent>
      <w:p w:rsidR="005C4AE0" w:rsidRPr="002C7330" w:rsidRDefault="0061618D">
        <w:pPr>
          <w:pStyle w:val="Footer"/>
          <w:jc w:val="center"/>
          <w:rPr>
            <w:rFonts w:ascii="Arial Italic" w:hAnsi="Arial Italic"/>
            <w:i/>
            <w:sz w:val="22"/>
          </w:rPr>
        </w:pPr>
        <w:r w:rsidRPr="002C7330">
          <w:rPr>
            <w:rFonts w:ascii="Arial Italic" w:hAnsi="Arial Italic"/>
            <w:i/>
            <w:sz w:val="22"/>
          </w:rPr>
          <w:fldChar w:fldCharType="begin"/>
        </w:r>
        <w:r w:rsidR="005C4AE0" w:rsidRPr="002C7330">
          <w:rPr>
            <w:rFonts w:ascii="Arial Italic" w:hAnsi="Arial Italic"/>
            <w:i/>
            <w:sz w:val="22"/>
          </w:rPr>
          <w:instrText xml:space="preserve"> PAGE   \* MERGEFORMAT </w:instrText>
        </w:r>
        <w:r w:rsidRPr="002C7330">
          <w:rPr>
            <w:rFonts w:ascii="Arial Italic" w:hAnsi="Arial Italic"/>
            <w:i/>
            <w:sz w:val="22"/>
          </w:rPr>
          <w:fldChar w:fldCharType="separate"/>
        </w:r>
        <w:r w:rsidR="00E25D14">
          <w:rPr>
            <w:rFonts w:ascii="Arial Italic" w:hAnsi="Arial Italic"/>
            <w:i/>
            <w:noProof/>
            <w:sz w:val="22"/>
          </w:rPr>
          <w:t>16</w:t>
        </w:r>
        <w:r w:rsidRPr="002C7330">
          <w:rPr>
            <w:rFonts w:ascii="Arial Italic" w:hAnsi="Arial Italic"/>
            <w:i/>
            <w:sz w:val="22"/>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03C1" w:rsidRDefault="00E403C1" w:rsidP="002C7330">
      <w:pPr>
        <w:spacing w:line="240" w:lineRule="auto"/>
      </w:pPr>
      <w:r>
        <w:separator/>
      </w:r>
    </w:p>
  </w:footnote>
  <w:footnote w:type="continuationSeparator" w:id="0">
    <w:p w:rsidR="00E403C1" w:rsidRDefault="00E403C1" w:rsidP="002C7330">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13A059D2"/>
    <w:lvl w:ilvl="0">
      <w:start w:val="1"/>
      <w:numFmt w:val="bullet"/>
      <w:pStyle w:val="ListBullet3"/>
      <w:lvlText w:val=""/>
      <w:lvlJc w:val="left"/>
      <w:pPr>
        <w:tabs>
          <w:tab w:val="num" w:pos="360"/>
        </w:tabs>
        <w:ind w:left="360" w:hanging="360"/>
      </w:pPr>
      <w:rPr>
        <w:rFonts w:ascii="Symbol" w:hAnsi="Symbol" w:hint="default"/>
      </w:rPr>
    </w:lvl>
  </w:abstractNum>
  <w:abstractNum w:abstractNumId="1">
    <w:nsid w:val="00000006"/>
    <w:multiLevelType w:val="multilevel"/>
    <w:tmpl w:val="894EE878"/>
    <w:lvl w:ilvl="0">
      <w:start w:val="1"/>
      <w:numFmt w:val="bullet"/>
      <w:lvlText w:val=""/>
      <w:lvlJc w:val="left"/>
      <w:pPr>
        <w:tabs>
          <w:tab w:val="num" w:pos="360"/>
        </w:tabs>
        <w:ind w:left="360" w:firstLine="360"/>
      </w:pPr>
      <w:rPr>
        <w:rFonts w:ascii="Wingdings" w:eastAsia="ヒラギノ角ゴ Pro W3" w:hAnsi="Wingdings" w:hint="default"/>
        <w:color w:val="000000"/>
        <w:position w:val="0"/>
        <w:sz w:val="24"/>
      </w:rPr>
    </w:lvl>
    <w:lvl w:ilvl="1">
      <w:start w:val="1"/>
      <w:numFmt w:val="decimal"/>
      <w:isLgl/>
      <w:suff w:val="nothing"/>
      <w:lvlText w:val="%2."/>
      <w:lvlJc w:val="left"/>
      <w:pPr>
        <w:ind w:left="0" w:firstLine="1440"/>
      </w:pPr>
      <w:rPr>
        <w:rFonts w:ascii="Courier New" w:eastAsia="ヒラギノ角ゴ Pro W3" w:hAnsi="Courier New" w:hint="default"/>
        <w:color w:val="000000"/>
        <w:position w:val="0"/>
        <w:sz w:val="24"/>
      </w:rPr>
    </w:lvl>
    <w:lvl w:ilvl="2">
      <w:start w:val="1"/>
      <w:numFmt w:val="bullet"/>
      <w:suff w:val="nothing"/>
      <w:lvlText w:val=""/>
      <w:lvlJc w:val="left"/>
      <w:pPr>
        <w:ind w:left="0" w:firstLine="2160"/>
      </w:pPr>
      <w:rPr>
        <w:rFonts w:hint="default"/>
        <w:color w:val="000000"/>
        <w:position w:val="0"/>
        <w:sz w:val="24"/>
      </w:rPr>
    </w:lvl>
    <w:lvl w:ilvl="3">
      <w:start w:val="1"/>
      <w:numFmt w:val="bullet"/>
      <w:suff w:val="nothing"/>
      <w:lvlText w:val="•"/>
      <w:lvlJc w:val="left"/>
      <w:pPr>
        <w:ind w:left="0" w:firstLine="2880"/>
      </w:pPr>
      <w:rPr>
        <w:rFonts w:hint="default"/>
        <w:color w:val="000000"/>
        <w:position w:val="0"/>
        <w:sz w:val="24"/>
      </w:rPr>
    </w:lvl>
    <w:lvl w:ilvl="4">
      <w:start w:val="1"/>
      <w:numFmt w:val="bullet"/>
      <w:suff w:val="nothing"/>
      <w:lvlText w:val="o"/>
      <w:lvlJc w:val="left"/>
      <w:pPr>
        <w:ind w:left="0" w:firstLine="3600"/>
      </w:pPr>
      <w:rPr>
        <w:rFonts w:hint="default"/>
        <w:color w:val="000000"/>
        <w:position w:val="0"/>
        <w:sz w:val="24"/>
      </w:rPr>
    </w:lvl>
    <w:lvl w:ilvl="5">
      <w:start w:val="1"/>
      <w:numFmt w:val="bullet"/>
      <w:suff w:val="nothing"/>
      <w:lvlText w:val=""/>
      <w:lvlJc w:val="left"/>
      <w:pPr>
        <w:ind w:left="0" w:firstLine="4320"/>
      </w:pPr>
      <w:rPr>
        <w:rFonts w:hint="default"/>
        <w:color w:val="000000"/>
        <w:position w:val="0"/>
        <w:sz w:val="24"/>
      </w:rPr>
    </w:lvl>
    <w:lvl w:ilvl="6">
      <w:start w:val="1"/>
      <w:numFmt w:val="bullet"/>
      <w:suff w:val="nothing"/>
      <w:lvlText w:val="•"/>
      <w:lvlJc w:val="left"/>
      <w:pPr>
        <w:ind w:left="0" w:firstLine="5040"/>
      </w:pPr>
      <w:rPr>
        <w:rFonts w:hint="default"/>
        <w:color w:val="000000"/>
        <w:position w:val="0"/>
        <w:sz w:val="24"/>
      </w:rPr>
    </w:lvl>
    <w:lvl w:ilvl="7">
      <w:start w:val="1"/>
      <w:numFmt w:val="bullet"/>
      <w:suff w:val="nothing"/>
      <w:lvlText w:val="o"/>
      <w:lvlJc w:val="left"/>
      <w:pPr>
        <w:ind w:left="0" w:firstLine="5760"/>
      </w:pPr>
      <w:rPr>
        <w:rFonts w:hint="default"/>
        <w:color w:val="000000"/>
        <w:position w:val="0"/>
        <w:sz w:val="24"/>
      </w:rPr>
    </w:lvl>
    <w:lvl w:ilvl="8">
      <w:start w:val="1"/>
      <w:numFmt w:val="bullet"/>
      <w:suff w:val="nothing"/>
      <w:lvlText w:val=""/>
      <w:lvlJc w:val="left"/>
      <w:pPr>
        <w:ind w:left="0" w:firstLine="6480"/>
      </w:pPr>
      <w:rPr>
        <w:rFonts w:hint="default"/>
        <w:color w:val="000000"/>
        <w:position w:val="0"/>
        <w:sz w:val="24"/>
      </w:rPr>
    </w:lvl>
  </w:abstractNum>
  <w:abstractNum w:abstractNumId="2">
    <w:nsid w:val="00000007"/>
    <w:multiLevelType w:val="multilevel"/>
    <w:tmpl w:val="894EE879"/>
    <w:lvl w:ilvl="0">
      <w:start w:val="3"/>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3">
    <w:nsid w:val="00000009"/>
    <w:multiLevelType w:val="multilevel"/>
    <w:tmpl w:val="894EE87B"/>
    <w:lvl w:ilvl="0">
      <w:start w:val="4"/>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4">
    <w:nsid w:val="0000000A"/>
    <w:multiLevelType w:val="multilevel"/>
    <w:tmpl w:val="B3E83FF0"/>
    <w:lvl w:ilvl="0">
      <w:start w:val="5"/>
      <w:numFmt w:val="decimal"/>
      <w:isLgl/>
      <w:lvlText w:val="%1."/>
      <w:lvlJc w:val="left"/>
      <w:pPr>
        <w:tabs>
          <w:tab w:val="num" w:pos="240"/>
        </w:tabs>
        <w:ind w:left="240" w:firstLine="0"/>
      </w:pPr>
      <w:rPr>
        <w:rFonts w:ascii="Arial" w:hAnsi="Arial" w:cs="Arial" w:hint="default"/>
        <w:position w:val="0"/>
        <w:sz w:val="20"/>
        <w:szCs w:val="2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5">
    <w:nsid w:val="0000000C"/>
    <w:multiLevelType w:val="multilevel"/>
    <w:tmpl w:val="894EE87E"/>
    <w:lvl w:ilvl="0">
      <w:start w:val="1"/>
      <w:numFmt w:val="decimal"/>
      <w:isLgl/>
      <w:suff w:val="nothing"/>
      <w:lvlText w:val="%1."/>
      <w:lvlJc w:val="left"/>
      <w:pPr>
        <w:ind w:left="0" w:firstLine="360"/>
      </w:pPr>
      <w:rPr>
        <w:rFonts w:ascii="Lucida Grande" w:eastAsia="ヒラギノ角ゴ Pro W3" w:hAnsi="Symbol" w:hint="default"/>
        <w:color w:val="000000"/>
        <w:position w:val="0"/>
        <w:sz w:val="24"/>
      </w:rPr>
    </w:lvl>
    <w:lvl w:ilvl="1">
      <w:start w:val="1"/>
      <w:numFmt w:val="bullet"/>
      <w:lvlText w:val=""/>
      <w:lvlJc w:val="left"/>
      <w:pPr>
        <w:tabs>
          <w:tab w:val="num" w:pos="360"/>
        </w:tabs>
        <w:ind w:left="360" w:firstLine="360"/>
      </w:pPr>
      <w:rPr>
        <w:rFonts w:ascii="Courier New" w:eastAsia="ヒラギノ角ゴ Pro W3" w:hAnsi="Courier New" w:hint="default"/>
        <w:color w:val="000000"/>
        <w:position w:val="0"/>
        <w:sz w:val="24"/>
      </w:rPr>
    </w:lvl>
    <w:lvl w:ilvl="2">
      <w:start w:val="1"/>
      <w:numFmt w:val="lowerRoman"/>
      <w:suff w:val="nothing"/>
      <w:lvlText w:val="%3."/>
      <w:lvlJc w:val="left"/>
      <w:pPr>
        <w:ind w:left="0" w:firstLine="1800"/>
      </w:pPr>
      <w:rPr>
        <w:rFonts w:ascii="Wingdings" w:eastAsia="ヒラギノ角ゴ Pro W3" w:hAnsi="Wingdings" w:hint="default"/>
        <w:color w:val="000000"/>
        <w:position w:val="0"/>
        <w:sz w:val="24"/>
      </w:rPr>
    </w:lvl>
    <w:lvl w:ilvl="3">
      <w:start w:val="1"/>
      <w:numFmt w:val="decimal"/>
      <w:isLgl/>
      <w:suff w:val="nothing"/>
      <w:lvlText w:val="%4."/>
      <w:lvlJc w:val="left"/>
      <w:pPr>
        <w:ind w:left="0" w:firstLine="2520"/>
      </w:pPr>
      <w:rPr>
        <w:rFonts w:ascii="Lucida Grande" w:eastAsia="ヒラギノ角ゴ Pro W3" w:hAnsi="Symbol" w:hint="default"/>
        <w:color w:val="000000"/>
        <w:position w:val="0"/>
        <w:sz w:val="24"/>
      </w:rPr>
    </w:lvl>
    <w:lvl w:ilvl="4">
      <w:start w:val="1"/>
      <w:numFmt w:val="lowerLetter"/>
      <w:suff w:val="nothing"/>
      <w:lvlText w:val="%5."/>
      <w:lvlJc w:val="left"/>
      <w:pPr>
        <w:ind w:left="0" w:firstLine="3240"/>
      </w:pPr>
      <w:rPr>
        <w:rFonts w:ascii="Courier New" w:eastAsia="ヒラギノ角ゴ Pro W3" w:hAnsi="Courier New" w:hint="default"/>
        <w:color w:val="000000"/>
        <w:position w:val="0"/>
        <w:sz w:val="24"/>
      </w:rPr>
    </w:lvl>
    <w:lvl w:ilvl="5">
      <w:start w:val="1"/>
      <w:numFmt w:val="lowerRoman"/>
      <w:suff w:val="nothing"/>
      <w:lvlText w:val="%6."/>
      <w:lvlJc w:val="left"/>
      <w:pPr>
        <w:ind w:left="0" w:firstLine="3960"/>
      </w:pPr>
      <w:rPr>
        <w:rFonts w:ascii="Wingdings" w:eastAsia="ヒラギノ角ゴ Pro W3" w:hAnsi="Wingdings" w:hint="default"/>
        <w:color w:val="000000"/>
        <w:position w:val="0"/>
        <w:sz w:val="24"/>
      </w:rPr>
    </w:lvl>
    <w:lvl w:ilvl="6">
      <w:start w:val="1"/>
      <w:numFmt w:val="decimal"/>
      <w:isLgl/>
      <w:suff w:val="nothing"/>
      <w:lvlText w:val="%7."/>
      <w:lvlJc w:val="left"/>
      <w:pPr>
        <w:ind w:left="0" w:firstLine="4680"/>
      </w:pPr>
      <w:rPr>
        <w:rFonts w:ascii="Lucida Grande" w:eastAsia="ヒラギノ角ゴ Pro W3" w:hAnsi="Symbol" w:hint="default"/>
        <w:color w:val="000000"/>
        <w:position w:val="0"/>
        <w:sz w:val="24"/>
      </w:rPr>
    </w:lvl>
    <w:lvl w:ilvl="7">
      <w:start w:val="1"/>
      <w:numFmt w:val="lowerLetter"/>
      <w:suff w:val="nothing"/>
      <w:lvlText w:val="%8."/>
      <w:lvlJc w:val="left"/>
      <w:pPr>
        <w:ind w:left="0" w:firstLine="5400"/>
      </w:pPr>
      <w:rPr>
        <w:rFonts w:ascii="Courier New" w:eastAsia="ヒラギノ角ゴ Pro W3" w:hAnsi="Courier New" w:hint="default"/>
        <w:color w:val="000000"/>
        <w:position w:val="0"/>
        <w:sz w:val="24"/>
      </w:rPr>
    </w:lvl>
    <w:lvl w:ilvl="8">
      <w:start w:val="1"/>
      <w:numFmt w:val="lowerRoman"/>
      <w:suff w:val="nothing"/>
      <w:lvlText w:val="%9."/>
      <w:lvlJc w:val="left"/>
      <w:pPr>
        <w:ind w:left="0" w:firstLine="6120"/>
      </w:pPr>
      <w:rPr>
        <w:rFonts w:ascii="Wingdings" w:eastAsia="ヒラギノ角ゴ Pro W3" w:hAnsi="Wingdings" w:hint="default"/>
        <w:color w:val="000000"/>
        <w:position w:val="0"/>
        <w:sz w:val="24"/>
      </w:rPr>
    </w:lvl>
  </w:abstractNum>
  <w:abstractNum w:abstractNumId="6">
    <w:nsid w:val="0000000F"/>
    <w:multiLevelType w:val="multilevel"/>
    <w:tmpl w:val="894EE881"/>
    <w:lvl w:ilvl="0">
      <w:start w:val="1"/>
      <w:numFmt w:val="bullet"/>
      <w:lvlText w:val="-"/>
      <w:lvlJc w:val="left"/>
      <w:pPr>
        <w:tabs>
          <w:tab w:val="num" w:pos="122"/>
        </w:tabs>
        <w:ind w:left="122" w:firstLine="0"/>
      </w:pPr>
      <w:rPr>
        <w:rFonts w:hint="default"/>
        <w:position w:val="0"/>
      </w:rPr>
    </w:lvl>
    <w:lvl w:ilvl="1">
      <w:start w:val="1"/>
      <w:numFmt w:val="bullet"/>
      <w:lvlText w:val="-"/>
      <w:lvlJc w:val="left"/>
      <w:pPr>
        <w:tabs>
          <w:tab w:val="num" w:pos="122"/>
        </w:tabs>
        <w:ind w:left="122" w:firstLine="720"/>
      </w:pPr>
      <w:rPr>
        <w:rFonts w:hint="default"/>
        <w:position w:val="0"/>
      </w:rPr>
    </w:lvl>
    <w:lvl w:ilvl="2">
      <w:start w:val="1"/>
      <w:numFmt w:val="bullet"/>
      <w:lvlText w:val="-"/>
      <w:lvlJc w:val="left"/>
      <w:pPr>
        <w:tabs>
          <w:tab w:val="num" w:pos="122"/>
        </w:tabs>
        <w:ind w:left="122" w:firstLine="1440"/>
      </w:pPr>
      <w:rPr>
        <w:rFonts w:hint="default"/>
        <w:position w:val="0"/>
      </w:rPr>
    </w:lvl>
    <w:lvl w:ilvl="3">
      <w:start w:val="1"/>
      <w:numFmt w:val="bullet"/>
      <w:lvlText w:val="-"/>
      <w:lvlJc w:val="left"/>
      <w:pPr>
        <w:tabs>
          <w:tab w:val="num" w:pos="122"/>
        </w:tabs>
        <w:ind w:left="122" w:firstLine="2160"/>
      </w:pPr>
      <w:rPr>
        <w:rFonts w:hint="default"/>
        <w:position w:val="0"/>
      </w:rPr>
    </w:lvl>
    <w:lvl w:ilvl="4">
      <w:start w:val="1"/>
      <w:numFmt w:val="bullet"/>
      <w:lvlText w:val="-"/>
      <w:lvlJc w:val="left"/>
      <w:pPr>
        <w:tabs>
          <w:tab w:val="num" w:pos="122"/>
        </w:tabs>
        <w:ind w:left="122" w:firstLine="2880"/>
      </w:pPr>
      <w:rPr>
        <w:rFonts w:hint="default"/>
        <w:position w:val="0"/>
      </w:rPr>
    </w:lvl>
    <w:lvl w:ilvl="5">
      <w:start w:val="1"/>
      <w:numFmt w:val="bullet"/>
      <w:lvlText w:val="-"/>
      <w:lvlJc w:val="left"/>
      <w:pPr>
        <w:tabs>
          <w:tab w:val="num" w:pos="122"/>
        </w:tabs>
        <w:ind w:left="122" w:firstLine="3600"/>
      </w:pPr>
      <w:rPr>
        <w:rFonts w:hint="default"/>
        <w:position w:val="0"/>
      </w:rPr>
    </w:lvl>
    <w:lvl w:ilvl="6">
      <w:start w:val="1"/>
      <w:numFmt w:val="bullet"/>
      <w:lvlText w:val="-"/>
      <w:lvlJc w:val="left"/>
      <w:pPr>
        <w:tabs>
          <w:tab w:val="num" w:pos="122"/>
        </w:tabs>
        <w:ind w:left="122" w:firstLine="4320"/>
      </w:pPr>
      <w:rPr>
        <w:rFonts w:hint="default"/>
        <w:position w:val="0"/>
      </w:rPr>
    </w:lvl>
    <w:lvl w:ilvl="7">
      <w:start w:val="1"/>
      <w:numFmt w:val="bullet"/>
      <w:lvlText w:val="-"/>
      <w:lvlJc w:val="left"/>
      <w:pPr>
        <w:tabs>
          <w:tab w:val="num" w:pos="122"/>
        </w:tabs>
        <w:ind w:left="122" w:firstLine="5040"/>
      </w:pPr>
      <w:rPr>
        <w:rFonts w:hint="default"/>
        <w:position w:val="0"/>
      </w:rPr>
    </w:lvl>
    <w:lvl w:ilvl="8">
      <w:start w:val="1"/>
      <w:numFmt w:val="bullet"/>
      <w:lvlText w:val="-"/>
      <w:lvlJc w:val="left"/>
      <w:pPr>
        <w:tabs>
          <w:tab w:val="num" w:pos="122"/>
        </w:tabs>
        <w:ind w:left="122" w:firstLine="5760"/>
      </w:pPr>
      <w:rPr>
        <w:rFonts w:hint="default"/>
        <w:position w:val="0"/>
      </w:rPr>
    </w:lvl>
  </w:abstractNum>
  <w:abstractNum w:abstractNumId="7">
    <w:nsid w:val="00000010"/>
    <w:multiLevelType w:val="multilevel"/>
    <w:tmpl w:val="894EE882"/>
    <w:lvl w:ilvl="0">
      <w:start w:val="1"/>
      <w:numFmt w:val="decimal"/>
      <w:isLgl/>
      <w:suff w:val="nothing"/>
      <w:lvlText w:val="%1."/>
      <w:lvlJc w:val="left"/>
      <w:pPr>
        <w:ind w:left="0" w:firstLine="360"/>
      </w:pPr>
      <w:rPr>
        <w:rFonts w:ascii="Lucida Grande" w:eastAsia="ヒラギノ角ゴ Pro W3" w:hAnsi="Symbol" w:hint="default"/>
        <w:color w:val="000000"/>
        <w:position w:val="0"/>
        <w:sz w:val="24"/>
      </w:rPr>
    </w:lvl>
    <w:lvl w:ilvl="1">
      <w:start w:val="1"/>
      <w:numFmt w:val="bullet"/>
      <w:lvlText w:val=""/>
      <w:lvlJc w:val="left"/>
      <w:pPr>
        <w:tabs>
          <w:tab w:val="num" w:pos="360"/>
        </w:tabs>
        <w:ind w:left="360" w:firstLine="360"/>
      </w:pPr>
      <w:rPr>
        <w:rFonts w:ascii="Courier New" w:eastAsia="ヒラギノ角ゴ Pro W3" w:hAnsi="Courier New" w:hint="default"/>
        <w:color w:val="000000"/>
        <w:position w:val="0"/>
        <w:sz w:val="24"/>
      </w:rPr>
    </w:lvl>
    <w:lvl w:ilvl="2">
      <w:start w:val="1"/>
      <w:numFmt w:val="lowerRoman"/>
      <w:suff w:val="nothing"/>
      <w:lvlText w:val="%3."/>
      <w:lvlJc w:val="left"/>
      <w:pPr>
        <w:ind w:left="0" w:firstLine="1800"/>
      </w:pPr>
      <w:rPr>
        <w:rFonts w:ascii="Wingdings" w:eastAsia="ヒラギノ角ゴ Pro W3" w:hAnsi="Wingdings" w:hint="default"/>
        <w:color w:val="000000"/>
        <w:position w:val="0"/>
        <w:sz w:val="24"/>
      </w:rPr>
    </w:lvl>
    <w:lvl w:ilvl="3">
      <w:start w:val="1"/>
      <w:numFmt w:val="decimal"/>
      <w:isLgl/>
      <w:suff w:val="nothing"/>
      <w:lvlText w:val="%4."/>
      <w:lvlJc w:val="left"/>
      <w:pPr>
        <w:ind w:left="0" w:firstLine="2520"/>
      </w:pPr>
      <w:rPr>
        <w:rFonts w:ascii="Lucida Grande" w:eastAsia="ヒラギノ角ゴ Pro W3" w:hAnsi="Symbol" w:hint="default"/>
        <w:color w:val="000000"/>
        <w:position w:val="0"/>
        <w:sz w:val="24"/>
      </w:rPr>
    </w:lvl>
    <w:lvl w:ilvl="4">
      <w:start w:val="1"/>
      <w:numFmt w:val="lowerLetter"/>
      <w:suff w:val="nothing"/>
      <w:lvlText w:val="%5."/>
      <w:lvlJc w:val="left"/>
      <w:pPr>
        <w:ind w:left="0" w:firstLine="3240"/>
      </w:pPr>
      <w:rPr>
        <w:rFonts w:ascii="Courier New" w:eastAsia="ヒラギノ角ゴ Pro W3" w:hAnsi="Courier New" w:hint="default"/>
        <w:color w:val="000000"/>
        <w:position w:val="0"/>
        <w:sz w:val="24"/>
      </w:rPr>
    </w:lvl>
    <w:lvl w:ilvl="5">
      <w:start w:val="1"/>
      <w:numFmt w:val="lowerRoman"/>
      <w:suff w:val="nothing"/>
      <w:lvlText w:val="%6."/>
      <w:lvlJc w:val="left"/>
      <w:pPr>
        <w:ind w:left="0" w:firstLine="3960"/>
      </w:pPr>
      <w:rPr>
        <w:rFonts w:ascii="Wingdings" w:eastAsia="ヒラギノ角ゴ Pro W3" w:hAnsi="Wingdings" w:hint="default"/>
        <w:color w:val="000000"/>
        <w:position w:val="0"/>
        <w:sz w:val="24"/>
      </w:rPr>
    </w:lvl>
    <w:lvl w:ilvl="6">
      <w:start w:val="1"/>
      <w:numFmt w:val="decimal"/>
      <w:isLgl/>
      <w:suff w:val="nothing"/>
      <w:lvlText w:val="%7."/>
      <w:lvlJc w:val="left"/>
      <w:pPr>
        <w:ind w:left="0" w:firstLine="4680"/>
      </w:pPr>
      <w:rPr>
        <w:rFonts w:ascii="Lucida Grande" w:eastAsia="ヒラギノ角ゴ Pro W3" w:hAnsi="Symbol" w:hint="default"/>
        <w:color w:val="000000"/>
        <w:position w:val="0"/>
        <w:sz w:val="24"/>
      </w:rPr>
    </w:lvl>
    <w:lvl w:ilvl="7">
      <w:start w:val="1"/>
      <w:numFmt w:val="lowerLetter"/>
      <w:suff w:val="nothing"/>
      <w:lvlText w:val="%8."/>
      <w:lvlJc w:val="left"/>
      <w:pPr>
        <w:ind w:left="0" w:firstLine="5400"/>
      </w:pPr>
      <w:rPr>
        <w:rFonts w:ascii="Courier New" w:eastAsia="ヒラギノ角ゴ Pro W3" w:hAnsi="Courier New" w:hint="default"/>
        <w:color w:val="000000"/>
        <w:position w:val="0"/>
        <w:sz w:val="24"/>
      </w:rPr>
    </w:lvl>
    <w:lvl w:ilvl="8">
      <w:start w:val="1"/>
      <w:numFmt w:val="lowerRoman"/>
      <w:suff w:val="nothing"/>
      <w:lvlText w:val="%9."/>
      <w:lvlJc w:val="left"/>
      <w:pPr>
        <w:ind w:left="0" w:firstLine="6120"/>
      </w:pPr>
      <w:rPr>
        <w:rFonts w:ascii="Wingdings" w:eastAsia="ヒラギノ角ゴ Pro W3" w:hAnsi="Wingdings" w:hint="default"/>
        <w:color w:val="000000"/>
        <w:position w:val="0"/>
        <w:sz w:val="24"/>
      </w:rPr>
    </w:lvl>
  </w:abstractNum>
  <w:abstractNum w:abstractNumId="8">
    <w:nsid w:val="00000011"/>
    <w:multiLevelType w:val="multilevel"/>
    <w:tmpl w:val="C62AAB26"/>
    <w:lvl w:ilvl="0">
      <w:start w:val="2"/>
      <w:numFmt w:val="upperRoman"/>
      <w:lvlText w:val="%1."/>
      <w:lvlJc w:val="left"/>
      <w:pPr>
        <w:tabs>
          <w:tab w:val="num" w:pos="240"/>
        </w:tabs>
        <w:ind w:left="240" w:firstLine="0"/>
      </w:pPr>
      <w:rPr>
        <w:rFonts w:hint="default"/>
        <w:b/>
        <w:position w:val="0"/>
      </w:rPr>
    </w:lvl>
    <w:lvl w:ilvl="1">
      <w:start w:val="1"/>
      <w:numFmt w:val="upperLetter"/>
      <w:lvlText w:val="%2."/>
      <w:lvlJc w:val="left"/>
      <w:pPr>
        <w:tabs>
          <w:tab w:val="num" w:pos="240"/>
        </w:tabs>
        <w:ind w:left="240" w:firstLine="360"/>
      </w:pPr>
      <w:rPr>
        <w:rFonts w:hint="default"/>
        <w:position w:val="0"/>
      </w:rPr>
    </w:lvl>
    <w:lvl w:ilvl="2">
      <w:start w:val="1"/>
      <w:numFmt w:val="decimal"/>
      <w:isLgl/>
      <w:lvlText w:val="%3."/>
      <w:lvlJc w:val="left"/>
      <w:pPr>
        <w:tabs>
          <w:tab w:val="num" w:pos="240"/>
        </w:tabs>
        <w:ind w:left="240" w:firstLine="720"/>
      </w:pPr>
      <w:rPr>
        <w:rFonts w:hint="default"/>
        <w:position w:val="0"/>
      </w:rPr>
    </w:lvl>
    <w:lvl w:ilvl="3">
      <w:start w:val="1"/>
      <w:numFmt w:val="lowerLetter"/>
      <w:lvlText w:val="%4)"/>
      <w:lvlJc w:val="left"/>
      <w:pPr>
        <w:tabs>
          <w:tab w:val="num" w:pos="240"/>
        </w:tabs>
        <w:ind w:left="240" w:firstLine="1080"/>
      </w:pPr>
      <w:rPr>
        <w:rFonts w:hint="default"/>
        <w:position w:val="0"/>
      </w:rPr>
    </w:lvl>
    <w:lvl w:ilvl="4">
      <w:start w:val="1"/>
      <w:numFmt w:val="decimal"/>
      <w:isLgl/>
      <w:lvlText w:val="(%5)"/>
      <w:lvlJc w:val="left"/>
      <w:pPr>
        <w:tabs>
          <w:tab w:val="num" w:pos="240"/>
        </w:tabs>
        <w:ind w:left="240" w:firstLine="1440"/>
      </w:pPr>
      <w:rPr>
        <w:rFonts w:hint="default"/>
        <w:position w:val="0"/>
      </w:rPr>
    </w:lvl>
    <w:lvl w:ilvl="5">
      <w:start w:val="1"/>
      <w:numFmt w:val="lowerLetter"/>
      <w:lvlText w:val="(%6)"/>
      <w:lvlJc w:val="left"/>
      <w:pPr>
        <w:tabs>
          <w:tab w:val="num" w:pos="240"/>
        </w:tabs>
        <w:ind w:left="240" w:firstLine="1908"/>
      </w:pPr>
      <w:rPr>
        <w:rFonts w:hint="default"/>
        <w:position w:val="0"/>
      </w:rPr>
    </w:lvl>
    <w:lvl w:ilvl="6">
      <w:start w:val="1"/>
      <w:numFmt w:val="lowerRoman"/>
      <w:lvlText w:val="%7)"/>
      <w:lvlJc w:val="left"/>
      <w:pPr>
        <w:tabs>
          <w:tab w:val="num" w:pos="240"/>
        </w:tabs>
        <w:ind w:left="240" w:firstLine="2376"/>
      </w:pPr>
      <w:rPr>
        <w:rFonts w:hint="default"/>
        <w:position w:val="0"/>
      </w:rPr>
    </w:lvl>
    <w:lvl w:ilvl="7">
      <w:start w:val="1"/>
      <w:numFmt w:val="decimal"/>
      <w:isLgl/>
      <w:lvlText w:val="(%8)"/>
      <w:lvlJc w:val="left"/>
      <w:pPr>
        <w:tabs>
          <w:tab w:val="num" w:pos="240"/>
        </w:tabs>
        <w:ind w:left="240" w:firstLine="2736"/>
      </w:pPr>
      <w:rPr>
        <w:rFonts w:hint="default"/>
        <w:position w:val="0"/>
      </w:rPr>
    </w:lvl>
    <w:lvl w:ilvl="8">
      <w:start w:val="1"/>
      <w:numFmt w:val="lowerLetter"/>
      <w:lvlText w:val="(%9)"/>
      <w:lvlJc w:val="left"/>
      <w:pPr>
        <w:tabs>
          <w:tab w:val="num" w:pos="240"/>
        </w:tabs>
        <w:ind w:left="240" w:firstLine="3204"/>
      </w:pPr>
      <w:rPr>
        <w:rFonts w:hint="default"/>
        <w:position w:val="0"/>
      </w:rPr>
    </w:lvl>
  </w:abstractNum>
  <w:abstractNum w:abstractNumId="9">
    <w:nsid w:val="00000019"/>
    <w:multiLevelType w:val="multilevel"/>
    <w:tmpl w:val="894EE88B"/>
    <w:lvl w:ilvl="0">
      <w:start w:val="1"/>
      <w:numFmt w:val="decimal"/>
      <w:isLgl/>
      <w:lvlText w:val="%1)"/>
      <w:lvlJc w:val="left"/>
      <w:pPr>
        <w:tabs>
          <w:tab w:val="num" w:pos="233"/>
        </w:tabs>
        <w:ind w:left="233" w:firstLine="0"/>
      </w:pPr>
      <w:rPr>
        <w:rFonts w:hint="default"/>
        <w:position w:val="0"/>
      </w:rPr>
    </w:lvl>
    <w:lvl w:ilvl="1">
      <w:start w:val="1"/>
      <w:numFmt w:val="decimal"/>
      <w:isLgl/>
      <w:lvlText w:val="%2)"/>
      <w:lvlJc w:val="left"/>
      <w:pPr>
        <w:tabs>
          <w:tab w:val="num" w:pos="233"/>
        </w:tabs>
        <w:ind w:left="233" w:firstLine="720"/>
      </w:pPr>
      <w:rPr>
        <w:rFonts w:hint="default"/>
        <w:position w:val="0"/>
      </w:rPr>
    </w:lvl>
    <w:lvl w:ilvl="2">
      <w:start w:val="1"/>
      <w:numFmt w:val="decimal"/>
      <w:isLgl/>
      <w:lvlText w:val="%3)"/>
      <w:lvlJc w:val="left"/>
      <w:pPr>
        <w:tabs>
          <w:tab w:val="num" w:pos="233"/>
        </w:tabs>
        <w:ind w:left="233" w:firstLine="1440"/>
      </w:pPr>
      <w:rPr>
        <w:rFonts w:hint="default"/>
        <w:position w:val="0"/>
      </w:rPr>
    </w:lvl>
    <w:lvl w:ilvl="3">
      <w:start w:val="1"/>
      <w:numFmt w:val="decimal"/>
      <w:isLgl/>
      <w:lvlText w:val="%4)"/>
      <w:lvlJc w:val="left"/>
      <w:pPr>
        <w:tabs>
          <w:tab w:val="num" w:pos="233"/>
        </w:tabs>
        <w:ind w:left="233" w:firstLine="2160"/>
      </w:pPr>
      <w:rPr>
        <w:rFonts w:hint="default"/>
        <w:position w:val="0"/>
      </w:rPr>
    </w:lvl>
    <w:lvl w:ilvl="4">
      <w:start w:val="1"/>
      <w:numFmt w:val="decimal"/>
      <w:isLgl/>
      <w:lvlText w:val="%5)"/>
      <w:lvlJc w:val="left"/>
      <w:pPr>
        <w:tabs>
          <w:tab w:val="num" w:pos="233"/>
        </w:tabs>
        <w:ind w:left="233" w:firstLine="2880"/>
      </w:pPr>
      <w:rPr>
        <w:rFonts w:hint="default"/>
        <w:position w:val="0"/>
      </w:rPr>
    </w:lvl>
    <w:lvl w:ilvl="5">
      <w:start w:val="1"/>
      <w:numFmt w:val="decimal"/>
      <w:isLgl/>
      <w:lvlText w:val="%6)"/>
      <w:lvlJc w:val="left"/>
      <w:pPr>
        <w:tabs>
          <w:tab w:val="num" w:pos="233"/>
        </w:tabs>
        <w:ind w:left="233" w:firstLine="3600"/>
      </w:pPr>
      <w:rPr>
        <w:rFonts w:hint="default"/>
        <w:position w:val="0"/>
      </w:rPr>
    </w:lvl>
    <w:lvl w:ilvl="6">
      <w:start w:val="1"/>
      <w:numFmt w:val="decimal"/>
      <w:isLgl/>
      <w:lvlText w:val="%7)"/>
      <w:lvlJc w:val="left"/>
      <w:pPr>
        <w:tabs>
          <w:tab w:val="num" w:pos="233"/>
        </w:tabs>
        <w:ind w:left="233" w:firstLine="4320"/>
      </w:pPr>
      <w:rPr>
        <w:rFonts w:hint="default"/>
        <w:position w:val="0"/>
      </w:rPr>
    </w:lvl>
    <w:lvl w:ilvl="7">
      <w:start w:val="1"/>
      <w:numFmt w:val="decimal"/>
      <w:isLgl/>
      <w:lvlText w:val="%8)"/>
      <w:lvlJc w:val="left"/>
      <w:pPr>
        <w:tabs>
          <w:tab w:val="num" w:pos="233"/>
        </w:tabs>
        <w:ind w:left="233" w:firstLine="5040"/>
      </w:pPr>
      <w:rPr>
        <w:rFonts w:hint="default"/>
        <w:position w:val="0"/>
      </w:rPr>
    </w:lvl>
    <w:lvl w:ilvl="8">
      <w:start w:val="1"/>
      <w:numFmt w:val="decimal"/>
      <w:isLgl/>
      <w:lvlText w:val="%9)"/>
      <w:lvlJc w:val="left"/>
      <w:pPr>
        <w:tabs>
          <w:tab w:val="num" w:pos="233"/>
        </w:tabs>
        <w:ind w:left="233" w:firstLine="5760"/>
      </w:pPr>
      <w:rPr>
        <w:rFonts w:hint="default"/>
        <w:position w:val="0"/>
      </w:rPr>
    </w:lvl>
  </w:abstractNum>
  <w:abstractNum w:abstractNumId="10">
    <w:nsid w:val="0000001C"/>
    <w:multiLevelType w:val="multilevel"/>
    <w:tmpl w:val="FF363DFC"/>
    <w:lvl w:ilvl="0">
      <w:numFmt w:val="bullet"/>
      <w:suff w:val="nothing"/>
      <w:lvlText w:val=""/>
      <w:lvlJc w:val="left"/>
      <w:pPr>
        <w:ind w:left="0" w:firstLine="720"/>
      </w:pPr>
      <w:rPr>
        <w:rFonts w:hint="default"/>
        <w:color w:val="000000"/>
        <w:position w:val="0"/>
        <w:sz w:val="24"/>
      </w:rPr>
    </w:lvl>
    <w:lvl w:ilvl="1">
      <w:start w:val="1"/>
      <w:numFmt w:val="decimal"/>
      <w:isLgl/>
      <w:lvlText w:val="%2."/>
      <w:lvlJc w:val="left"/>
      <w:pPr>
        <w:tabs>
          <w:tab w:val="num" w:pos="360"/>
        </w:tabs>
        <w:ind w:left="360" w:firstLine="0"/>
      </w:pPr>
      <w:rPr>
        <w:rFonts w:hint="default"/>
        <w:color w:val="000000"/>
        <w:position w:val="0"/>
        <w:sz w:val="20"/>
        <w:szCs w:val="20"/>
      </w:rPr>
    </w:lvl>
    <w:lvl w:ilvl="2">
      <w:start w:val="1"/>
      <w:numFmt w:val="bullet"/>
      <w:suff w:val="nothing"/>
      <w:lvlText w:val=""/>
      <w:lvlJc w:val="left"/>
      <w:pPr>
        <w:ind w:left="0" w:firstLine="2160"/>
      </w:pPr>
      <w:rPr>
        <w:rFonts w:hint="default"/>
        <w:color w:val="000000"/>
        <w:position w:val="0"/>
        <w:sz w:val="24"/>
      </w:rPr>
    </w:lvl>
    <w:lvl w:ilvl="3">
      <w:start w:val="1"/>
      <w:numFmt w:val="bullet"/>
      <w:suff w:val="nothing"/>
      <w:lvlText w:val="•"/>
      <w:lvlJc w:val="left"/>
      <w:pPr>
        <w:ind w:left="0" w:firstLine="2880"/>
      </w:pPr>
      <w:rPr>
        <w:rFonts w:hint="default"/>
        <w:color w:val="000000"/>
        <w:position w:val="0"/>
        <w:sz w:val="24"/>
      </w:rPr>
    </w:lvl>
    <w:lvl w:ilvl="4">
      <w:start w:val="1"/>
      <w:numFmt w:val="bullet"/>
      <w:suff w:val="nothing"/>
      <w:lvlText w:val="o"/>
      <w:lvlJc w:val="left"/>
      <w:pPr>
        <w:ind w:left="0" w:firstLine="3600"/>
      </w:pPr>
      <w:rPr>
        <w:rFonts w:hint="default"/>
        <w:color w:val="000000"/>
        <w:position w:val="0"/>
        <w:sz w:val="24"/>
      </w:rPr>
    </w:lvl>
    <w:lvl w:ilvl="5">
      <w:start w:val="1"/>
      <w:numFmt w:val="bullet"/>
      <w:suff w:val="nothing"/>
      <w:lvlText w:val=""/>
      <w:lvlJc w:val="left"/>
      <w:pPr>
        <w:ind w:left="0" w:firstLine="4320"/>
      </w:pPr>
      <w:rPr>
        <w:rFonts w:hint="default"/>
        <w:color w:val="000000"/>
        <w:position w:val="0"/>
        <w:sz w:val="24"/>
      </w:rPr>
    </w:lvl>
    <w:lvl w:ilvl="6">
      <w:start w:val="1"/>
      <w:numFmt w:val="bullet"/>
      <w:suff w:val="nothing"/>
      <w:lvlText w:val="•"/>
      <w:lvlJc w:val="left"/>
      <w:pPr>
        <w:ind w:left="0" w:firstLine="5040"/>
      </w:pPr>
      <w:rPr>
        <w:rFonts w:hint="default"/>
        <w:color w:val="000000"/>
        <w:position w:val="0"/>
        <w:sz w:val="24"/>
      </w:rPr>
    </w:lvl>
    <w:lvl w:ilvl="7">
      <w:start w:val="1"/>
      <w:numFmt w:val="bullet"/>
      <w:suff w:val="nothing"/>
      <w:lvlText w:val="o"/>
      <w:lvlJc w:val="left"/>
      <w:pPr>
        <w:ind w:left="0" w:firstLine="5760"/>
      </w:pPr>
      <w:rPr>
        <w:rFonts w:hint="default"/>
        <w:color w:val="000000"/>
        <w:position w:val="0"/>
        <w:sz w:val="24"/>
      </w:rPr>
    </w:lvl>
    <w:lvl w:ilvl="8">
      <w:start w:val="1"/>
      <w:numFmt w:val="bullet"/>
      <w:suff w:val="nothing"/>
      <w:lvlText w:val=""/>
      <w:lvlJc w:val="left"/>
      <w:pPr>
        <w:ind w:left="0" w:firstLine="6480"/>
      </w:pPr>
      <w:rPr>
        <w:rFonts w:hint="default"/>
        <w:color w:val="000000"/>
        <w:position w:val="0"/>
        <w:sz w:val="24"/>
      </w:rPr>
    </w:lvl>
  </w:abstractNum>
  <w:abstractNum w:abstractNumId="11">
    <w:nsid w:val="0065617D"/>
    <w:multiLevelType w:val="multilevel"/>
    <w:tmpl w:val="9B080F62"/>
    <w:lvl w:ilvl="0">
      <w:numFmt w:val="bullet"/>
      <w:suff w:val="nothing"/>
      <w:lvlText w:val=""/>
      <w:lvlJc w:val="left"/>
      <w:pPr>
        <w:ind w:left="0" w:firstLine="720"/>
      </w:pPr>
      <w:rPr>
        <w:rFonts w:hint="default"/>
        <w:color w:val="000000"/>
        <w:position w:val="0"/>
        <w:sz w:val="24"/>
      </w:rPr>
    </w:lvl>
    <w:lvl w:ilvl="1">
      <w:start w:val="1"/>
      <w:numFmt w:val="decimal"/>
      <w:isLgl/>
      <w:lvlText w:val="%2."/>
      <w:lvlJc w:val="left"/>
      <w:pPr>
        <w:tabs>
          <w:tab w:val="num" w:pos="360"/>
        </w:tabs>
        <w:ind w:left="360" w:firstLine="0"/>
      </w:pPr>
      <w:rPr>
        <w:rFonts w:hint="default"/>
        <w:b w:val="0"/>
        <w:color w:val="000000"/>
        <w:position w:val="0"/>
        <w:sz w:val="20"/>
        <w:szCs w:val="20"/>
      </w:rPr>
    </w:lvl>
    <w:lvl w:ilvl="2">
      <w:start w:val="1"/>
      <w:numFmt w:val="bullet"/>
      <w:suff w:val="nothing"/>
      <w:lvlText w:val=""/>
      <w:lvlJc w:val="left"/>
      <w:pPr>
        <w:ind w:left="0" w:firstLine="2160"/>
      </w:pPr>
      <w:rPr>
        <w:rFonts w:hint="default"/>
        <w:color w:val="000000"/>
        <w:position w:val="0"/>
        <w:sz w:val="24"/>
      </w:rPr>
    </w:lvl>
    <w:lvl w:ilvl="3">
      <w:start w:val="1"/>
      <w:numFmt w:val="bullet"/>
      <w:suff w:val="nothing"/>
      <w:lvlText w:val="•"/>
      <w:lvlJc w:val="left"/>
      <w:pPr>
        <w:ind w:left="0" w:firstLine="2880"/>
      </w:pPr>
      <w:rPr>
        <w:rFonts w:hint="default"/>
        <w:color w:val="000000"/>
        <w:position w:val="0"/>
        <w:sz w:val="24"/>
      </w:rPr>
    </w:lvl>
    <w:lvl w:ilvl="4">
      <w:start w:val="1"/>
      <w:numFmt w:val="bullet"/>
      <w:suff w:val="nothing"/>
      <w:lvlText w:val="o"/>
      <w:lvlJc w:val="left"/>
      <w:pPr>
        <w:ind w:left="0" w:firstLine="3600"/>
      </w:pPr>
      <w:rPr>
        <w:rFonts w:hint="default"/>
        <w:color w:val="000000"/>
        <w:position w:val="0"/>
        <w:sz w:val="24"/>
      </w:rPr>
    </w:lvl>
    <w:lvl w:ilvl="5">
      <w:start w:val="1"/>
      <w:numFmt w:val="bullet"/>
      <w:suff w:val="nothing"/>
      <w:lvlText w:val=""/>
      <w:lvlJc w:val="left"/>
      <w:pPr>
        <w:ind w:left="0" w:firstLine="4320"/>
      </w:pPr>
      <w:rPr>
        <w:rFonts w:hint="default"/>
        <w:color w:val="000000"/>
        <w:position w:val="0"/>
        <w:sz w:val="24"/>
      </w:rPr>
    </w:lvl>
    <w:lvl w:ilvl="6">
      <w:start w:val="1"/>
      <w:numFmt w:val="bullet"/>
      <w:suff w:val="nothing"/>
      <w:lvlText w:val="•"/>
      <w:lvlJc w:val="left"/>
      <w:pPr>
        <w:ind w:left="0" w:firstLine="5040"/>
      </w:pPr>
      <w:rPr>
        <w:rFonts w:hint="default"/>
        <w:color w:val="000000"/>
        <w:position w:val="0"/>
        <w:sz w:val="24"/>
      </w:rPr>
    </w:lvl>
    <w:lvl w:ilvl="7">
      <w:start w:val="1"/>
      <w:numFmt w:val="bullet"/>
      <w:suff w:val="nothing"/>
      <w:lvlText w:val="o"/>
      <w:lvlJc w:val="left"/>
      <w:pPr>
        <w:ind w:left="0" w:firstLine="5760"/>
      </w:pPr>
      <w:rPr>
        <w:rFonts w:hint="default"/>
        <w:color w:val="000000"/>
        <w:position w:val="0"/>
        <w:sz w:val="24"/>
      </w:rPr>
    </w:lvl>
    <w:lvl w:ilvl="8">
      <w:start w:val="1"/>
      <w:numFmt w:val="bullet"/>
      <w:suff w:val="nothing"/>
      <w:lvlText w:val=""/>
      <w:lvlJc w:val="left"/>
      <w:pPr>
        <w:ind w:left="0" w:firstLine="6480"/>
      </w:pPr>
      <w:rPr>
        <w:rFonts w:hint="default"/>
        <w:color w:val="000000"/>
        <w:position w:val="0"/>
        <w:sz w:val="24"/>
      </w:rPr>
    </w:lvl>
  </w:abstractNum>
  <w:abstractNum w:abstractNumId="12">
    <w:nsid w:val="15A923BE"/>
    <w:multiLevelType w:val="hybridMultilevel"/>
    <w:tmpl w:val="AC1C2EDA"/>
    <w:lvl w:ilvl="0" w:tplc="182CD042">
      <w:start w:val="1"/>
      <w:numFmt w:val="bullet"/>
      <w:lvlText w:val=""/>
      <w:lvlJc w:val="left"/>
      <w:pPr>
        <w:tabs>
          <w:tab w:val="num" w:pos="360"/>
        </w:tabs>
        <w:ind w:left="360" w:hanging="360"/>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EC517DE"/>
    <w:multiLevelType w:val="hybridMultilevel"/>
    <w:tmpl w:val="C31A520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250A3828"/>
    <w:multiLevelType w:val="hybridMultilevel"/>
    <w:tmpl w:val="10C478E4"/>
    <w:lvl w:ilvl="0" w:tplc="0409000F">
      <w:start w:val="1"/>
      <w:numFmt w:val="bullet"/>
      <w:lvlText w:val=""/>
      <w:lvlJc w:val="left"/>
      <w:pPr>
        <w:tabs>
          <w:tab w:val="num" w:pos="360"/>
        </w:tabs>
        <w:ind w:left="360" w:hanging="360"/>
      </w:pPr>
      <w:rPr>
        <w:rFonts w:ascii="Wingdings" w:hAnsi="Wingdings" w:hint="default"/>
      </w:rPr>
    </w:lvl>
    <w:lvl w:ilvl="1" w:tplc="C83E788E">
      <w:start w:val="1"/>
      <w:numFmt w:val="bullet"/>
      <w:lvlText w:val="o"/>
      <w:lvlJc w:val="left"/>
      <w:pPr>
        <w:tabs>
          <w:tab w:val="num" w:pos="1080"/>
        </w:tabs>
        <w:ind w:left="1080" w:hanging="360"/>
      </w:pPr>
      <w:rPr>
        <w:rFonts w:ascii="Courier New" w:hAnsi="Courier New" w:cs="Courier New" w:hint="default"/>
      </w:rPr>
    </w:lvl>
    <w:lvl w:ilvl="2" w:tplc="04090003"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15">
    <w:nsid w:val="2CC12712"/>
    <w:multiLevelType w:val="hybridMultilevel"/>
    <w:tmpl w:val="440CE84C"/>
    <w:lvl w:ilvl="0" w:tplc="0809001B">
      <w:start w:val="1"/>
      <w:numFmt w:val="lowerRoman"/>
      <w:lvlText w:val="%1."/>
      <w:lvlJc w:val="right"/>
      <w:pPr>
        <w:ind w:left="720" w:hanging="360"/>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16">
    <w:nsid w:val="2D2A70EE"/>
    <w:multiLevelType w:val="hybridMultilevel"/>
    <w:tmpl w:val="3DB6FFBA"/>
    <w:lvl w:ilvl="0" w:tplc="04090005">
      <w:start w:val="1"/>
      <w:numFmt w:val="decimal"/>
      <w:lvlText w:val="%1."/>
      <w:lvlJc w:val="left"/>
      <w:pPr>
        <w:tabs>
          <w:tab w:val="num" w:pos="720"/>
        </w:tabs>
        <w:ind w:left="720" w:hanging="360"/>
      </w:pPr>
    </w:lvl>
    <w:lvl w:ilvl="1" w:tplc="0409000F">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7">
    <w:nsid w:val="30E459A1"/>
    <w:multiLevelType w:val="multilevel"/>
    <w:tmpl w:val="3BAA69D8"/>
    <w:lvl w:ilvl="0">
      <w:start w:val="1"/>
      <w:numFmt w:val="decimal"/>
      <w:pStyle w:val="dots"/>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369653A5"/>
    <w:multiLevelType w:val="hybridMultilevel"/>
    <w:tmpl w:val="9EF238F6"/>
    <w:lvl w:ilvl="0" w:tplc="04090001">
      <w:start w:val="1"/>
      <w:numFmt w:val="bullet"/>
      <w:lvlText w:val=""/>
      <w:lvlJc w:val="left"/>
      <w:pPr>
        <w:tabs>
          <w:tab w:val="num" w:pos="720"/>
        </w:tabs>
        <w:ind w:left="720" w:hanging="360"/>
      </w:pPr>
      <w:rPr>
        <w:rFonts w:ascii="Wingdings" w:hAnsi="Wingdings" w:hint="default"/>
      </w:rPr>
    </w:lvl>
    <w:lvl w:ilvl="1" w:tplc="0409000F">
      <w:start w:val="1"/>
      <w:numFmt w:val="bullet"/>
      <w:lvlText w:val=""/>
      <w:lvlJc w:val="left"/>
      <w:pPr>
        <w:tabs>
          <w:tab w:val="num" w:pos="1440"/>
        </w:tabs>
        <w:ind w:left="1440" w:hanging="360"/>
      </w:pPr>
      <w:rPr>
        <w:rFonts w:ascii="Webdings" w:hAnsi="Web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57267A5"/>
    <w:multiLevelType w:val="hybridMultilevel"/>
    <w:tmpl w:val="FD82E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3AA7518"/>
    <w:multiLevelType w:val="hybridMultilevel"/>
    <w:tmpl w:val="CAD4A6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59E440DE"/>
    <w:multiLevelType w:val="hybridMultilevel"/>
    <w:tmpl w:val="6060C97E"/>
    <w:lvl w:ilvl="0" w:tplc="000F0409">
      <w:start w:val="1"/>
      <w:numFmt w:val="decimal"/>
      <w:lvlText w:val="%1."/>
      <w:lvlJc w:val="left"/>
      <w:pPr>
        <w:ind w:left="720" w:hanging="360"/>
      </w:pPr>
      <w:rPr>
        <w:rFonts w:hint="default"/>
      </w:r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22">
    <w:nsid w:val="62632F46"/>
    <w:multiLevelType w:val="multilevel"/>
    <w:tmpl w:val="BBDEA6A0"/>
    <w:lvl w:ilvl="0">
      <w:numFmt w:val="bullet"/>
      <w:suff w:val="nothing"/>
      <w:lvlText w:val=""/>
      <w:lvlJc w:val="left"/>
      <w:pPr>
        <w:ind w:left="0" w:firstLine="720"/>
      </w:pPr>
      <w:rPr>
        <w:rFonts w:hint="default"/>
        <w:color w:val="000000"/>
        <w:position w:val="0"/>
        <w:sz w:val="24"/>
      </w:rPr>
    </w:lvl>
    <w:lvl w:ilvl="1">
      <w:start w:val="1"/>
      <w:numFmt w:val="decimal"/>
      <w:isLgl/>
      <w:lvlText w:val="%2."/>
      <w:lvlJc w:val="left"/>
      <w:pPr>
        <w:tabs>
          <w:tab w:val="num" w:pos="360"/>
        </w:tabs>
        <w:ind w:left="360" w:firstLine="0"/>
      </w:pPr>
      <w:rPr>
        <w:rFonts w:hint="default"/>
        <w:color w:val="000000"/>
        <w:position w:val="0"/>
        <w:sz w:val="20"/>
        <w:szCs w:val="20"/>
      </w:rPr>
    </w:lvl>
    <w:lvl w:ilvl="2">
      <w:start w:val="1"/>
      <w:numFmt w:val="bullet"/>
      <w:suff w:val="nothing"/>
      <w:lvlText w:val=""/>
      <w:lvlJc w:val="left"/>
      <w:pPr>
        <w:ind w:left="0" w:firstLine="2160"/>
      </w:pPr>
      <w:rPr>
        <w:rFonts w:hint="default"/>
        <w:color w:val="000000"/>
        <w:position w:val="0"/>
        <w:sz w:val="24"/>
      </w:rPr>
    </w:lvl>
    <w:lvl w:ilvl="3">
      <w:start w:val="1"/>
      <w:numFmt w:val="bullet"/>
      <w:suff w:val="nothing"/>
      <w:lvlText w:val="•"/>
      <w:lvlJc w:val="left"/>
      <w:pPr>
        <w:ind w:left="0" w:firstLine="2880"/>
      </w:pPr>
      <w:rPr>
        <w:rFonts w:hint="default"/>
        <w:color w:val="000000"/>
        <w:position w:val="0"/>
        <w:sz w:val="24"/>
      </w:rPr>
    </w:lvl>
    <w:lvl w:ilvl="4">
      <w:start w:val="1"/>
      <w:numFmt w:val="bullet"/>
      <w:suff w:val="nothing"/>
      <w:lvlText w:val="o"/>
      <w:lvlJc w:val="left"/>
      <w:pPr>
        <w:ind w:left="0" w:firstLine="3600"/>
      </w:pPr>
      <w:rPr>
        <w:rFonts w:hint="default"/>
        <w:color w:val="000000"/>
        <w:position w:val="0"/>
        <w:sz w:val="24"/>
      </w:rPr>
    </w:lvl>
    <w:lvl w:ilvl="5">
      <w:start w:val="1"/>
      <w:numFmt w:val="bullet"/>
      <w:suff w:val="nothing"/>
      <w:lvlText w:val=""/>
      <w:lvlJc w:val="left"/>
      <w:pPr>
        <w:ind w:left="0" w:firstLine="4320"/>
      </w:pPr>
      <w:rPr>
        <w:rFonts w:hint="default"/>
        <w:color w:val="000000"/>
        <w:position w:val="0"/>
        <w:sz w:val="24"/>
      </w:rPr>
    </w:lvl>
    <w:lvl w:ilvl="6">
      <w:start w:val="1"/>
      <w:numFmt w:val="bullet"/>
      <w:suff w:val="nothing"/>
      <w:lvlText w:val="•"/>
      <w:lvlJc w:val="left"/>
      <w:pPr>
        <w:ind w:left="0" w:firstLine="5040"/>
      </w:pPr>
      <w:rPr>
        <w:rFonts w:hint="default"/>
        <w:color w:val="000000"/>
        <w:position w:val="0"/>
        <w:sz w:val="24"/>
      </w:rPr>
    </w:lvl>
    <w:lvl w:ilvl="7">
      <w:start w:val="1"/>
      <w:numFmt w:val="bullet"/>
      <w:suff w:val="nothing"/>
      <w:lvlText w:val="o"/>
      <w:lvlJc w:val="left"/>
      <w:pPr>
        <w:ind w:left="0" w:firstLine="5760"/>
      </w:pPr>
      <w:rPr>
        <w:rFonts w:hint="default"/>
        <w:color w:val="000000"/>
        <w:position w:val="0"/>
        <w:sz w:val="24"/>
      </w:rPr>
    </w:lvl>
    <w:lvl w:ilvl="8">
      <w:start w:val="1"/>
      <w:numFmt w:val="bullet"/>
      <w:suff w:val="nothing"/>
      <w:lvlText w:val=""/>
      <w:lvlJc w:val="left"/>
      <w:pPr>
        <w:ind w:left="0" w:firstLine="6480"/>
      </w:pPr>
      <w:rPr>
        <w:rFonts w:hint="default"/>
        <w:color w:val="000000"/>
        <w:position w:val="0"/>
        <w:sz w:val="24"/>
      </w:rPr>
    </w:lvl>
  </w:abstractNum>
  <w:abstractNum w:abstractNumId="23">
    <w:nsid w:val="691105AD"/>
    <w:multiLevelType w:val="hybridMultilevel"/>
    <w:tmpl w:val="C9405986"/>
    <w:lvl w:ilvl="0" w:tplc="FC98045E">
      <w:start w:val="1"/>
      <w:numFmt w:val="decimal"/>
      <w:lvlText w:val="%1."/>
      <w:lvlJc w:val="left"/>
      <w:pPr>
        <w:ind w:left="360" w:hanging="360"/>
      </w:pPr>
      <w:rPr>
        <w:rFonts w:ascii="Arial" w:hAnsi="Arial" w:cs="Arial"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76C12458"/>
    <w:multiLevelType w:val="hybridMultilevel"/>
    <w:tmpl w:val="0F407E04"/>
    <w:lvl w:ilvl="0" w:tplc="000F0409">
      <w:start w:val="1"/>
      <w:numFmt w:val="decimal"/>
      <w:lvlText w:val="%1."/>
      <w:lvlJc w:val="left"/>
      <w:pPr>
        <w:ind w:left="720" w:hanging="360"/>
      </w:pPr>
      <w:rPr>
        <w:rFonts w:hint="default"/>
      </w:rPr>
    </w:lvl>
    <w:lvl w:ilvl="1" w:tplc="00190409">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num w:numId="1">
    <w:abstractNumId w:val="17"/>
  </w:num>
  <w:num w:numId="2">
    <w:abstractNumId w:val="13"/>
  </w:num>
  <w:num w:numId="3">
    <w:abstractNumId w:val="16"/>
  </w:num>
  <w:num w:numId="4">
    <w:abstractNumId w:val="19"/>
  </w:num>
  <w:num w:numId="5">
    <w:abstractNumId w:val="14"/>
  </w:num>
  <w:num w:numId="6">
    <w:abstractNumId w:val="18"/>
  </w:num>
  <w:num w:numId="7">
    <w:abstractNumId w:val="12"/>
  </w:num>
  <w:num w:numId="8">
    <w:abstractNumId w:val="0"/>
  </w:num>
  <w:num w:numId="9">
    <w:abstractNumId w:val="1"/>
  </w:num>
  <w:num w:numId="10">
    <w:abstractNumId w:val="2"/>
  </w:num>
  <w:num w:numId="11">
    <w:abstractNumId w:val="3"/>
  </w:num>
  <w:num w:numId="12">
    <w:abstractNumId w:val="4"/>
  </w:num>
  <w:num w:numId="13">
    <w:abstractNumId w:val="6"/>
  </w:num>
  <w:num w:numId="14">
    <w:abstractNumId w:val="8"/>
  </w:num>
  <w:num w:numId="15">
    <w:abstractNumId w:val="9"/>
  </w:num>
  <w:num w:numId="16">
    <w:abstractNumId w:val="23"/>
  </w:num>
  <w:num w:numId="17">
    <w:abstractNumId w:val="10"/>
  </w:num>
  <w:num w:numId="18">
    <w:abstractNumId w:val="21"/>
  </w:num>
  <w:num w:numId="19">
    <w:abstractNumId w:val="24"/>
  </w:num>
  <w:num w:numId="20">
    <w:abstractNumId w:val="20"/>
  </w:num>
  <w:num w:numId="21">
    <w:abstractNumId w:val="11"/>
  </w:num>
  <w:num w:numId="22">
    <w:abstractNumId w:val="22"/>
  </w:num>
  <w:num w:numId="23">
    <w:abstractNumId w:val="15"/>
  </w:num>
  <w:num w:numId="24">
    <w:abstractNumId w:val="5"/>
  </w:num>
  <w:num w:numId="25">
    <w:abstractNumId w:val="7"/>
  </w:num>
  <w:num w:numId="26">
    <w:abstractNumId w:val="17"/>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proofState w:spelling="clean" w:grammar="clean"/>
  <w:defaultTabStop w:val="720"/>
  <w:characterSpacingControl w:val="doNotCompress"/>
  <w:footnotePr>
    <w:footnote w:id="-1"/>
    <w:footnote w:id="0"/>
  </w:footnotePr>
  <w:endnotePr>
    <w:endnote w:id="-1"/>
    <w:endnote w:id="0"/>
  </w:endnotePr>
  <w:compat/>
  <w:rsids>
    <w:rsidRoot w:val="00A4579D"/>
    <w:rsid w:val="0000781D"/>
    <w:rsid w:val="000126AE"/>
    <w:rsid w:val="0001503B"/>
    <w:rsid w:val="00017CE3"/>
    <w:rsid w:val="0003547E"/>
    <w:rsid w:val="00037A4C"/>
    <w:rsid w:val="00042451"/>
    <w:rsid w:val="00042D9A"/>
    <w:rsid w:val="0004748E"/>
    <w:rsid w:val="0006088D"/>
    <w:rsid w:val="00070259"/>
    <w:rsid w:val="0007704D"/>
    <w:rsid w:val="000A5441"/>
    <w:rsid w:val="000B1EAE"/>
    <w:rsid w:val="000B744A"/>
    <w:rsid w:val="000C28C3"/>
    <w:rsid w:val="000C3604"/>
    <w:rsid w:val="000D3DB8"/>
    <w:rsid w:val="000E74F3"/>
    <w:rsid w:val="000F095B"/>
    <w:rsid w:val="00114079"/>
    <w:rsid w:val="001208B7"/>
    <w:rsid w:val="00154996"/>
    <w:rsid w:val="00175970"/>
    <w:rsid w:val="00181A0F"/>
    <w:rsid w:val="0018566E"/>
    <w:rsid w:val="00187125"/>
    <w:rsid w:val="001A1605"/>
    <w:rsid w:val="001A3B9B"/>
    <w:rsid w:val="001A594F"/>
    <w:rsid w:val="001B6DB7"/>
    <w:rsid w:val="001C2E8A"/>
    <w:rsid w:val="002020E7"/>
    <w:rsid w:val="0020671B"/>
    <w:rsid w:val="0021403B"/>
    <w:rsid w:val="00223CC6"/>
    <w:rsid w:val="00226A14"/>
    <w:rsid w:val="00232549"/>
    <w:rsid w:val="00253B56"/>
    <w:rsid w:val="00265FE6"/>
    <w:rsid w:val="002733AD"/>
    <w:rsid w:val="00273DEC"/>
    <w:rsid w:val="00274A13"/>
    <w:rsid w:val="00275191"/>
    <w:rsid w:val="00284D8D"/>
    <w:rsid w:val="0029650C"/>
    <w:rsid w:val="00297C5A"/>
    <w:rsid w:val="002A5A7F"/>
    <w:rsid w:val="002A5F7D"/>
    <w:rsid w:val="002A6F64"/>
    <w:rsid w:val="002B03E6"/>
    <w:rsid w:val="002C3293"/>
    <w:rsid w:val="002C7330"/>
    <w:rsid w:val="002D2E39"/>
    <w:rsid w:val="002D573A"/>
    <w:rsid w:val="002D7FE2"/>
    <w:rsid w:val="002E46E1"/>
    <w:rsid w:val="002F036D"/>
    <w:rsid w:val="002F381D"/>
    <w:rsid w:val="0030193B"/>
    <w:rsid w:val="00303CA5"/>
    <w:rsid w:val="00322C92"/>
    <w:rsid w:val="00325259"/>
    <w:rsid w:val="003270F7"/>
    <w:rsid w:val="00327FCF"/>
    <w:rsid w:val="00335839"/>
    <w:rsid w:val="00340E9A"/>
    <w:rsid w:val="00342592"/>
    <w:rsid w:val="003436EB"/>
    <w:rsid w:val="00350311"/>
    <w:rsid w:val="00352DDA"/>
    <w:rsid w:val="0035511F"/>
    <w:rsid w:val="00363AA2"/>
    <w:rsid w:val="00365B03"/>
    <w:rsid w:val="00370235"/>
    <w:rsid w:val="00370A1A"/>
    <w:rsid w:val="00372FAA"/>
    <w:rsid w:val="003A1F1C"/>
    <w:rsid w:val="003A6323"/>
    <w:rsid w:val="003A6736"/>
    <w:rsid w:val="003B29D2"/>
    <w:rsid w:val="003D32C7"/>
    <w:rsid w:val="003D4A10"/>
    <w:rsid w:val="003E0456"/>
    <w:rsid w:val="004035C0"/>
    <w:rsid w:val="00405D98"/>
    <w:rsid w:val="0040737A"/>
    <w:rsid w:val="00443B98"/>
    <w:rsid w:val="00446FDE"/>
    <w:rsid w:val="00463BB1"/>
    <w:rsid w:val="004653AE"/>
    <w:rsid w:val="00473168"/>
    <w:rsid w:val="00494DCC"/>
    <w:rsid w:val="004A6399"/>
    <w:rsid w:val="004D20E6"/>
    <w:rsid w:val="004D7E3D"/>
    <w:rsid w:val="004F3204"/>
    <w:rsid w:val="005055A5"/>
    <w:rsid w:val="0051083C"/>
    <w:rsid w:val="005201BE"/>
    <w:rsid w:val="00525445"/>
    <w:rsid w:val="005300C6"/>
    <w:rsid w:val="0055175F"/>
    <w:rsid w:val="00552864"/>
    <w:rsid w:val="00561C67"/>
    <w:rsid w:val="00567DE8"/>
    <w:rsid w:val="0058253A"/>
    <w:rsid w:val="00585CB6"/>
    <w:rsid w:val="005A1F8C"/>
    <w:rsid w:val="005A28C2"/>
    <w:rsid w:val="005B4848"/>
    <w:rsid w:val="005B5625"/>
    <w:rsid w:val="005C4AE0"/>
    <w:rsid w:val="005C54BD"/>
    <w:rsid w:val="005E0F95"/>
    <w:rsid w:val="005E5883"/>
    <w:rsid w:val="005F3F82"/>
    <w:rsid w:val="00604AB2"/>
    <w:rsid w:val="00606CE8"/>
    <w:rsid w:val="0061618D"/>
    <w:rsid w:val="00621942"/>
    <w:rsid w:val="00621FD1"/>
    <w:rsid w:val="00635D8D"/>
    <w:rsid w:val="00641E3B"/>
    <w:rsid w:val="0064667C"/>
    <w:rsid w:val="006613B3"/>
    <w:rsid w:val="00686B54"/>
    <w:rsid w:val="0069018F"/>
    <w:rsid w:val="00697726"/>
    <w:rsid w:val="006B2BF4"/>
    <w:rsid w:val="006B3064"/>
    <w:rsid w:val="006C2E37"/>
    <w:rsid w:val="006C67C5"/>
    <w:rsid w:val="006C729D"/>
    <w:rsid w:val="006D49F6"/>
    <w:rsid w:val="006D4AAD"/>
    <w:rsid w:val="006D6CEE"/>
    <w:rsid w:val="006F1AE6"/>
    <w:rsid w:val="007000F8"/>
    <w:rsid w:val="00706FE7"/>
    <w:rsid w:val="00716B39"/>
    <w:rsid w:val="0071770E"/>
    <w:rsid w:val="0072128B"/>
    <w:rsid w:val="00723E93"/>
    <w:rsid w:val="007251F4"/>
    <w:rsid w:val="00725350"/>
    <w:rsid w:val="0073671A"/>
    <w:rsid w:val="00743107"/>
    <w:rsid w:val="0074495A"/>
    <w:rsid w:val="007511D1"/>
    <w:rsid w:val="007522E0"/>
    <w:rsid w:val="007524FB"/>
    <w:rsid w:val="0075799A"/>
    <w:rsid w:val="0076007F"/>
    <w:rsid w:val="007628EC"/>
    <w:rsid w:val="00763FA4"/>
    <w:rsid w:val="00764240"/>
    <w:rsid w:val="00765BAF"/>
    <w:rsid w:val="00770233"/>
    <w:rsid w:val="007718CE"/>
    <w:rsid w:val="00774564"/>
    <w:rsid w:val="00777821"/>
    <w:rsid w:val="00784FEF"/>
    <w:rsid w:val="007930FB"/>
    <w:rsid w:val="007D0CAC"/>
    <w:rsid w:val="007D5A57"/>
    <w:rsid w:val="007E0201"/>
    <w:rsid w:val="007E3301"/>
    <w:rsid w:val="007E49F0"/>
    <w:rsid w:val="00803238"/>
    <w:rsid w:val="00813AD0"/>
    <w:rsid w:val="008147B4"/>
    <w:rsid w:val="00814B3D"/>
    <w:rsid w:val="00825B30"/>
    <w:rsid w:val="00847EAB"/>
    <w:rsid w:val="0085035B"/>
    <w:rsid w:val="00866EAE"/>
    <w:rsid w:val="00874750"/>
    <w:rsid w:val="00876D18"/>
    <w:rsid w:val="008817FD"/>
    <w:rsid w:val="00884521"/>
    <w:rsid w:val="00892F65"/>
    <w:rsid w:val="008A22B6"/>
    <w:rsid w:val="008B38B7"/>
    <w:rsid w:val="008D06C1"/>
    <w:rsid w:val="008E2F68"/>
    <w:rsid w:val="008E3936"/>
    <w:rsid w:val="008E6C38"/>
    <w:rsid w:val="0091359F"/>
    <w:rsid w:val="00935DBE"/>
    <w:rsid w:val="0093742D"/>
    <w:rsid w:val="00951243"/>
    <w:rsid w:val="0096593E"/>
    <w:rsid w:val="00966B73"/>
    <w:rsid w:val="009811B2"/>
    <w:rsid w:val="009818A5"/>
    <w:rsid w:val="00982028"/>
    <w:rsid w:val="009824B2"/>
    <w:rsid w:val="00985CB2"/>
    <w:rsid w:val="00991E73"/>
    <w:rsid w:val="009933F8"/>
    <w:rsid w:val="009B15AA"/>
    <w:rsid w:val="009B3300"/>
    <w:rsid w:val="009C624E"/>
    <w:rsid w:val="009E00E0"/>
    <w:rsid w:val="00A01198"/>
    <w:rsid w:val="00A04181"/>
    <w:rsid w:val="00A14939"/>
    <w:rsid w:val="00A2228F"/>
    <w:rsid w:val="00A37282"/>
    <w:rsid w:val="00A44615"/>
    <w:rsid w:val="00A4579D"/>
    <w:rsid w:val="00A5182E"/>
    <w:rsid w:val="00A53332"/>
    <w:rsid w:val="00A64105"/>
    <w:rsid w:val="00A64BEC"/>
    <w:rsid w:val="00A65DE9"/>
    <w:rsid w:val="00A72630"/>
    <w:rsid w:val="00A82176"/>
    <w:rsid w:val="00A93186"/>
    <w:rsid w:val="00A95CF9"/>
    <w:rsid w:val="00A97117"/>
    <w:rsid w:val="00AA6A34"/>
    <w:rsid w:val="00AA6FFE"/>
    <w:rsid w:val="00AD6469"/>
    <w:rsid w:val="00AF1F72"/>
    <w:rsid w:val="00AF387F"/>
    <w:rsid w:val="00AF6989"/>
    <w:rsid w:val="00AF7085"/>
    <w:rsid w:val="00B022CE"/>
    <w:rsid w:val="00B02E6D"/>
    <w:rsid w:val="00B12237"/>
    <w:rsid w:val="00B12E8F"/>
    <w:rsid w:val="00B14705"/>
    <w:rsid w:val="00B1651B"/>
    <w:rsid w:val="00B17063"/>
    <w:rsid w:val="00B23208"/>
    <w:rsid w:val="00B70913"/>
    <w:rsid w:val="00B7725A"/>
    <w:rsid w:val="00B82133"/>
    <w:rsid w:val="00B92D7A"/>
    <w:rsid w:val="00B93919"/>
    <w:rsid w:val="00B95452"/>
    <w:rsid w:val="00B95FA2"/>
    <w:rsid w:val="00B97389"/>
    <w:rsid w:val="00BA19BC"/>
    <w:rsid w:val="00BA79B1"/>
    <w:rsid w:val="00BC0468"/>
    <w:rsid w:val="00BF5CD5"/>
    <w:rsid w:val="00C014D2"/>
    <w:rsid w:val="00C01A53"/>
    <w:rsid w:val="00C144FA"/>
    <w:rsid w:val="00C31274"/>
    <w:rsid w:val="00C43841"/>
    <w:rsid w:val="00C43F13"/>
    <w:rsid w:val="00C44B28"/>
    <w:rsid w:val="00C45901"/>
    <w:rsid w:val="00C47581"/>
    <w:rsid w:val="00C62400"/>
    <w:rsid w:val="00C6735F"/>
    <w:rsid w:val="00C85393"/>
    <w:rsid w:val="00C87842"/>
    <w:rsid w:val="00C91351"/>
    <w:rsid w:val="00CA503F"/>
    <w:rsid w:val="00CA5266"/>
    <w:rsid w:val="00CB04C4"/>
    <w:rsid w:val="00CB1CAC"/>
    <w:rsid w:val="00CD23ED"/>
    <w:rsid w:val="00CD37BB"/>
    <w:rsid w:val="00CD442E"/>
    <w:rsid w:val="00CE5DBE"/>
    <w:rsid w:val="00CF52C2"/>
    <w:rsid w:val="00D01B62"/>
    <w:rsid w:val="00D122A6"/>
    <w:rsid w:val="00D128CC"/>
    <w:rsid w:val="00D14907"/>
    <w:rsid w:val="00D1531D"/>
    <w:rsid w:val="00D17F6B"/>
    <w:rsid w:val="00D24822"/>
    <w:rsid w:val="00D32EDB"/>
    <w:rsid w:val="00D336C5"/>
    <w:rsid w:val="00D36B2F"/>
    <w:rsid w:val="00D418A8"/>
    <w:rsid w:val="00D42EA9"/>
    <w:rsid w:val="00D67533"/>
    <w:rsid w:val="00D710F2"/>
    <w:rsid w:val="00D76FF5"/>
    <w:rsid w:val="00D8396F"/>
    <w:rsid w:val="00D85087"/>
    <w:rsid w:val="00D96DC1"/>
    <w:rsid w:val="00DA17C9"/>
    <w:rsid w:val="00DA2A02"/>
    <w:rsid w:val="00DC6B2A"/>
    <w:rsid w:val="00DE525F"/>
    <w:rsid w:val="00DF49AF"/>
    <w:rsid w:val="00E0613E"/>
    <w:rsid w:val="00E130C1"/>
    <w:rsid w:val="00E13642"/>
    <w:rsid w:val="00E25D14"/>
    <w:rsid w:val="00E25EBA"/>
    <w:rsid w:val="00E403C1"/>
    <w:rsid w:val="00E422E1"/>
    <w:rsid w:val="00E45F77"/>
    <w:rsid w:val="00E5708B"/>
    <w:rsid w:val="00E6029D"/>
    <w:rsid w:val="00E65FAD"/>
    <w:rsid w:val="00E66810"/>
    <w:rsid w:val="00E84EC8"/>
    <w:rsid w:val="00E86819"/>
    <w:rsid w:val="00EA54FC"/>
    <w:rsid w:val="00EB2C81"/>
    <w:rsid w:val="00EB4122"/>
    <w:rsid w:val="00EB6E7C"/>
    <w:rsid w:val="00EC6EE8"/>
    <w:rsid w:val="00EF1D3C"/>
    <w:rsid w:val="00F0144E"/>
    <w:rsid w:val="00F22E7A"/>
    <w:rsid w:val="00F32F76"/>
    <w:rsid w:val="00F34F54"/>
    <w:rsid w:val="00F45CC1"/>
    <w:rsid w:val="00F45DC2"/>
    <w:rsid w:val="00F4656B"/>
    <w:rsid w:val="00F82D39"/>
    <w:rsid w:val="00F960A8"/>
    <w:rsid w:val="00F971BC"/>
    <w:rsid w:val="00FB19D0"/>
    <w:rsid w:val="00FB6403"/>
    <w:rsid w:val="00FC05AC"/>
    <w:rsid w:val="00FC3A46"/>
    <w:rsid w:val="00FD5904"/>
    <w:rsid w:val="00FE54AA"/>
    <w:rsid w:val="00FF693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10" fill="f" fillcolor="white">
      <v:fill color="white" on="f"/>
      <v:stroke weight=".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annotation reference" w:uiPriority="0"/>
    <w:lsdException w:name="List Bullet 3" w:uiPriority="0"/>
    <w:lsdException w:name="Title" w:semiHidden="0" w:uiPriority="1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2E"/>
    <w:pPr>
      <w:spacing w:after="0"/>
    </w:pPr>
  </w:style>
  <w:style w:type="paragraph" w:styleId="Heading1">
    <w:name w:val="heading 1"/>
    <w:basedOn w:val="Normal"/>
    <w:next w:val="Normal"/>
    <w:link w:val="Heading1Char"/>
    <w:uiPriority w:val="9"/>
    <w:qFormat/>
    <w:rsid w:val="003B29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76FF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D17F6B"/>
    <w:pPr>
      <w:keepNext/>
      <w:spacing w:before="240" w:after="60" w:line="240" w:lineRule="auto"/>
      <w:outlineLvl w:val="2"/>
    </w:pPr>
    <w:rPr>
      <w:rFonts w:ascii="Arial" w:eastAsia="Times New Roman" w:hAnsi="Arial"/>
      <w:b/>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29D2"/>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F22E7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2E7A"/>
    <w:rPr>
      <w:rFonts w:ascii="Tahoma" w:hAnsi="Tahoma" w:cs="Tahoma"/>
      <w:sz w:val="16"/>
      <w:szCs w:val="16"/>
    </w:rPr>
  </w:style>
  <w:style w:type="paragraph" w:styleId="ListParagraph">
    <w:name w:val="List Paragraph"/>
    <w:basedOn w:val="Normal"/>
    <w:qFormat/>
    <w:rsid w:val="00F22E7A"/>
    <w:pPr>
      <w:ind w:left="720"/>
      <w:contextualSpacing/>
    </w:pPr>
  </w:style>
  <w:style w:type="character" w:customStyle="1" w:styleId="Heading3Char">
    <w:name w:val="Heading 3 Char"/>
    <w:basedOn w:val="DefaultParagraphFont"/>
    <w:link w:val="Heading3"/>
    <w:rsid w:val="00D17F6B"/>
    <w:rPr>
      <w:rFonts w:ascii="Arial" w:eastAsia="Times New Roman" w:hAnsi="Arial"/>
      <w:b/>
      <w:kern w:val="28"/>
      <w:szCs w:val="20"/>
    </w:rPr>
  </w:style>
  <w:style w:type="paragraph" w:customStyle="1" w:styleId="dots">
    <w:name w:val="dots"/>
    <w:basedOn w:val="Normal"/>
    <w:rsid w:val="00D17F6B"/>
    <w:pPr>
      <w:numPr>
        <w:numId w:val="1"/>
      </w:numPr>
      <w:spacing w:line="240" w:lineRule="auto"/>
    </w:pPr>
    <w:rPr>
      <w:rFonts w:ascii="Times" w:eastAsia="Times" w:hAnsi="Times"/>
      <w:szCs w:val="20"/>
    </w:rPr>
  </w:style>
  <w:style w:type="character" w:customStyle="1" w:styleId="boldstatesm">
    <w:name w:val="bold state sm"/>
    <w:basedOn w:val="DefaultParagraphFont"/>
    <w:autoRedefine/>
    <w:rsid w:val="00D17F6B"/>
    <w:rPr>
      <w:rFonts w:ascii="Arial" w:hAnsi="Arial"/>
      <w:b/>
      <w:spacing w:val="10"/>
      <w:sz w:val="20"/>
      <w:bdr w:val="none" w:sz="0" w:space="0" w:color="auto"/>
      <w:shd w:val="clear" w:color="auto" w:fill="auto"/>
    </w:rPr>
  </w:style>
  <w:style w:type="paragraph" w:customStyle="1" w:styleId="aimobsm">
    <w:name w:val="aim/ob sm"/>
    <w:basedOn w:val="Normal"/>
    <w:rsid w:val="00D17F6B"/>
    <w:pPr>
      <w:keepNext/>
      <w:pBdr>
        <w:top w:val="single" w:sz="12" w:space="1" w:color="auto"/>
      </w:pBdr>
      <w:shd w:val="clear" w:color="auto" w:fill="FFFFFF"/>
      <w:tabs>
        <w:tab w:val="left" w:pos="1418"/>
        <w:tab w:val="left" w:pos="1985"/>
        <w:tab w:val="left" w:pos="2268"/>
        <w:tab w:val="left" w:pos="2552"/>
      </w:tabs>
      <w:spacing w:line="240" w:lineRule="auto"/>
      <w:ind w:right="193"/>
    </w:pPr>
    <w:rPr>
      <w:rFonts w:ascii="Arial Black" w:eastAsia="Times New Roman" w:hAnsi="Arial Black"/>
      <w:color w:val="000000"/>
      <w:kern w:val="28"/>
      <w:sz w:val="22"/>
      <w:szCs w:val="36"/>
    </w:rPr>
  </w:style>
  <w:style w:type="paragraph" w:customStyle="1" w:styleId="space">
    <w:name w:val="space"/>
    <w:rsid w:val="00D17F6B"/>
    <w:pPr>
      <w:spacing w:before="20" w:after="20" w:line="240" w:lineRule="auto"/>
      <w:ind w:right="51"/>
    </w:pPr>
    <w:rPr>
      <w:rFonts w:ascii="Times" w:eastAsia="Times" w:hAnsi="Times"/>
      <w:noProof/>
      <w:sz w:val="20"/>
      <w:szCs w:val="20"/>
    </w:rPr>
  </w:style>
  <w:style w:type="character" w:customStyle="1" w:styleId="Heading2Char">
    <w:name w:val="Heading 2 Char"/>
    <w:basedOn w:val="DefaultParagraphFont"/>
    <w:link w:val="Heading2"/>
    <w:uiPriority w:val="9"/>
    <w:semiHidden/>
    <w:rsid w:val="00D76FF5"/>
    <w:rPr>
      <w:rFonts w:asciiTheme="majorHAnsi" w:eastAsiaTheme="majorEastAsia" w:hAnsiTheme="majorHAnsi" w:cstheme="majorBidi"/>
      <w:b/>
      <w:bCs/>
      <w:color w:val="4F81BD" w:themeColor="accent1"/>
      <w:sz w:val="26"/>
      <w:szCs w:val="26"/>
    </w:rPr>
  </w:style>
  <w:style w:type="paragraph" w:customStyle="1" w:styleId="SPBody2">
    <w:name w:val="SP Body2"/>
    <w:basedOn w:val="BodyText"/>
    <w:rsid w:val="00D76FF5"/>
    <w:pPr>
      <w:spacing w:before="40" w:after="0" w:line="240" w:lineRule="auto"/>
    </w:pPr>
    <w:rPr>
      <w:rFonts w:ascii="Arial" w:eastAsia="Times New Roman" w:hAnsi="Arial"/>
      <w:color w:val="000000"/>
      <w:kern w:val="20"/>
      <w:sz w:val="22"/>
      <w:szCs w:val="20"/>
    </w:rPr>
  </w:style>
  <w:style w:type="paragraph" w:styleId="BodyText">
    <w:name w:val="Body Text"/>
    <w:basedOn w:val="Normal"/>
    <w:link w:val="BodyTextChar"/>
    <w:uiPriority w:val="99"/>
    <w:semiHidden/>
    <w:unhideWhenUsed/>
    <w:rsid w:val="00D76FF5"/>
    <w:pPr>
      <w:spacing w:after="120"/>
    </w:pPr>
  </w:style>
  <w:style w:type="character" w:customStyle="1" w:styleId="BodyTextChar">
    <w:name w:val="Body Text Char"/>
    <w:basedOn w:val="DefaultParagraphFont"/>
    <w:link w:val="BodyText"/>
    <w:uiPriority w:val="99"/>
    <w:semiHidden/>
    <w:rsid w:val="00D76FF5"/>
  </w:style>
  <w:style w:type="paragraph" w:customStyle="1" w:styleId="Char">
    <w:name w:val="Char"/>
    <w:basedOn w:val="Normal"/>
    <w:rsid w:val="00372FAA"/>
    <w:pPr>
      <w:spacing w:after="160" w:line="240" w:lineRule="exact"/>
    </w:pPr>
    <w:rPr>
      <w:rFonts w:ascii="Arial" w:eastAsia="Times New Roman" w:hAnsi="Arial" w:cs="Arial"/>
      <w:sz w:val="20"/>
      <w:szCs w:val="20"/>
    </w:rPr>
  </w:style>
  <w:style w:type="table" w:styleId="TableGrid">
    <w:name w:val="Table Grid"/>
    <w:basedOn w:val="TableNormal"/>
    <w:rsid w:val="00372FAA"/>
    <w:pPr>
      <w:spacing w:after="0" w:line="240" w:lineRule="auto"/>
    </w:pPr>
    <w:rPr>
      <w:rFonts w:eastAsia="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2C7330"/>
    <w:pPr>
      <w:tabs>
        <w:tab w:val="center" w:pos="4680"/>
        <w:tab w:val="right" w:pos="9360"/>
      </w:tabs>
      <w:spacing w:line="240" w:lineRule="auto"/>
    </w:pPr>
  </w:style>
  <w:style w:type="character" w:customStyle="1" w:styleId="HeaderChar">
    <w:name w:val="Header Char"/>
    <w:basedOn w:val="DefaultParagraphFont"/>
    <w:link w:val="Header"/>
    <w:rsid w:val="002C7330"/>
  </w:style>
  <w:style w:type="paragraph" w:styleId="Footer">
    <w:name w:val="footer"/>
    <w:basedOn w:val="Normal"/>
    <w:link w:val="FooterChar"/>
    <w:uiPriority w:val="99"/>
    <w:unhideWhenUsed/>
    <w:rsid w:val="002C7330"/>
    <w:pPr>
      <w:tabs>
        <w:tab w:val="center" w:pos="4680"/>
        <w:tab w:val="right" w:pos="9360"/>
      </w:tabs>
      <w:spacing w:line="240" w:lineRule="auto"/>
    </w:pPr>
  </w:style>
  <w:style w:type="character" w:customStyle="1" w:styleId="FooterChar">
    <w:name w:val="Footer Char"/>
    <w:basedOn w:val="DefaultParagraphFont"/>
    <w:link w:val="Footer"/>
    <w:uiPriority w:val="99"/>
    <w:rsid w:val="002C7330"/>
  </w:style>
  <w:style w:type="paragraph" w:styleId="BodyText2">
    <w:name w:val="Body Text 2"/>
    <w:basedOn w:val="Normal"/>
    <w:link w:val="BodyText2Char"/>
    <w:uiPriority w:val="99"/>
    <w:semiHidden/>
    <w:unhideWhenUsed/>
    <w:rsid w:val="008E2F68"/>
    <w:pPr>
      <w:spacing w:after="120" w:line="480" w:lineRule="auto"/>
    </w:pPr>
  </w:style>
  <w:style w:type="character" w:customStyle="1" w:styleId="BodyText2Char">
    <w:name w:val="Body Text 2 Char"/>
    <w:basedOn w:val="DefaultParagraphFont"/>
    <w:link w:val="BodyText2"/>
    <w:uiPriority w:val="99"/>
    <w:semiHidden/>
    <w:rsid w:val="008E2F68"/>
  </w:style>
  <w:style w:type="character" w:styleId="CommentReference">
    <w:name w:val="annotation reference"/>
    <w:basedOn w:val="DefaultParagraphFont"/>
    <w:semiHidden/>
    <w:rsid w:val="00743107"/>
    <w:rPr>
      <w:sz w:val="16"/>
      <w:szCs w:val="16"/>
    </w:rPr>
  </w:style>
  <w:style w:type="paragraph" w:styleId="BodyTextIndent">
    <w:name w:val="Body Text Indent"/>
    <w:basedOn w:val="Normal"/>
    <w:link w:val="BodyTextIndentChar"/>
    <w:uiPriority w:val="99"/>
    <w:semiHidden/>
    <w:unhideWhenUsed/>
    <w:rsid w:val="00991E73"/>
    <w:pPr>
      <w:spacing w:after="120" w:line="240" w:lineRule="auto"/>
      <w:ind w:left="283"/>
    </w:pPr>
    <w:rPr>
      <w:rFonts w:ascii="Times" w:eastAsia="Times" w:hAnsi="Times"/>
      <w:szCs w:val="20"/>
    </w:rPr>
  </w:style>
  <w:style w:type="character" w:customStyle="1" w:styleId="BodyTextIndentChar">
    <w:name w:val="Body Text Indent Char"/>
    <w:basedOn w:val="DefaultParagraphFont"/>
    <w:link w:val="BodyTextIndent"/>
    <w:uiPriority w:val="99"/>
    <w:semiHidden/>
    <w:rsid w:val="00991E73"/>
    <w:rPr>
      <w:rFonts w:ascii="Times" w:eastAsia="Times" w:hAnsi="Times"/>
      <w:szCs w:val="20"/>
    </w:rPr>
  </w:style>
  <w:style w:type="paragraph" w:styleId="BodyText3">
    <w:name w:val="Body Text 3"/>
    <w:basedOn w:val="Normal"/>
    <w:link w:val="BodyText3Char"/>
    <w:rsid w:val="00991E73"/>
    <w:pPr>
      <w:spacing w:after="120" w:line="240" w:lineRule="auto"/>
    </w:pPr>
    <w:rPr>
      <w:rFonts w:eastAsia="Times New Roman"/>
      <w:sz w:val="16"/>
      <w:szCs w:val="16"/>
      <w:lang w:val="en-US"/>
    </w:rPr>
  </w:style>
  <w:style w:type="character" w:customStyle="1" w:styleId="BodyText3Char">
    <w:name w:val="Body Text 3 Char"/>
    <w:basedOn w:val="DefaultParagraphFont"/>
    <w:link w:val="BodyText3"/>
    <w:rsid w:val="00991E73"/>
    <w:rPr>
      <w:rFonts w:eastAsia="Times New Roman"/>
      <w:sz w:val="16"/>
      <w:szCs w:val="16"/>
      <w:lang w:val="en-US"/>
    </w:rPr>
  </w:style>
  <w:style w:type="paragraph" w:styleId="Subtitle">
    <w:name w:val="Subtitle"/>
    <w:basedOn w:val="Normal"/>
    <w:link w:val="SubtitleChar"/>
    <w:qFormat/>
    <w:rsid w:val="00991E73"/>
    <w:pPr>
      <w:spacing w:line="240" w:lineRule="auto"/>
      <w:jc w:val="center"/>
    </w:pPr>
    <w:rPr>
      <w:rFonts w:eastAsia="Times New Roman"/>
      <w:b/>
      <w:bCs/>
      <w:lang w:val="en-US"/>
    </w:rPr>
  </w:style>
  <w:style w:type="character" w:customStyle="1" w:styleId="SubtitleChar">
    <w:name w:val="Subtitle Char"/>
    <w:basedOn w:val="DefaultParagraphFont"/>
    <w:link w:val="Subtitle"/>
    <w:rsid w:val="00991E73"/>
    <w:rPr>
      <w:rFonts w:eastAsia="Times New Roman"/>
      <w:b/>
      <w:bCs/>
      <w:lang w:val="en-US"/>
    </w:rPr>
  </w:style>
  <w:style w:type="paragraph" w:styleId="ListBullet3">
    <w:name w:val="List Bullet 3"/>
    <w:basedOn w:val="Normal"/>
    <w:link w:val="ListBullet3Char"/>
    <w:rsid w:val="007628EC"/>
    <w:pPr>
      <w:numPr>
        <w:numId w:val="8"/>
      </w:numPr>
      <w:spacing w:line="240" w:lineRule="auto"/>
    </w:pPr>
    <w:rPr>
      <w:rFonts w:ascii="Times" w:eastAsia="Times" w:hAnsi="Times"/>
      <w:lang w:val="en-US"/>
    </w:rPr>
  </w:style>
  <w:style w:type="character" w:customStyle="1" w:styleId="ListBullet3Char">
    <w:name w:val="List Bullet 3 Char"/>
    <w:basedOn w:val="DefaultParagraphFont"/>
    <w:link w:val="ListBullet3"/>
    <w:rsid w:val="007628EC"/>
    <w:rPr>
      <w:rFonts w:ascii="Times" w:eastAsia="Times" w:hAnsi="Times"/>
      <w:lang w:val="en-US"/>
    </w:rPr>
  </w:style>
  <w:style w:type="paragraph" w:styleId="HTMLPreformatted">
    <w:name w:val="HTML Preformatted"/>
    <w:basedOn w:val="Normal"/>
    <w:link w:val="HTMLPreformattedChar"/>
    <w:rsid w:val="00DF4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DF49AF"/>
    <w:rPr>
      <w:rFonts w:ascii="Courier New" w:eastAsia="Times New Roman" w:hAnsi="Courier New" w:cs="Courier New"/>
      <w:sz w:val="20"/>
      <w:szCs w:val="20"/>
      <w:lang w:val="en-US"/>
    </w:rPr>
  </w:style>
  <w:style w:type="character" w:styleId="Hyperlink">
    <w:name w:val="Hyperlink"/>
    <w:basedOn w:val="DefaultParagraphFont"/>
    <w:uiPriority w:val="99"/>
    <w:unhideWhenUsed/>
    <w:rsid w:val="00F960A8"/>
    <w:rPr>
      <w:color w:val="0000FF" w:themeColor="hyperlink"/>
      <w:u w:val="single"/>
    </w:rPr>
  </w:style>
  <w:style w:type="paragraph" w:customStyle="1" w:styleId="FreeForm">
    <w:name w:val="Free Form"/>
    <w:rsid w:val="009811B2"/>
    <w:rPr>
      <w:rFonts w:eastAsia="ヒラギノ角ゴ Pro W3"/>
      <w:color w:val="000000"/>
      <w:szCs w:val="20"/>
    </w:rPr>
  </w:style>
  <w:style w:type="character" w:customStyle="1" w:styleId="Hyperlink1">
    <w:name w:val="Hyperlink1"/>
    <w:rsid w:val="009811B2"/>
    <w:rPr>
      <w:color w:val="0000FF"/>
      <w:sz w:val="20"/>
      <w:u w:val="single"/>
    </w:rPr>
  </w:style>
  <w:style w:type="character" w:customStyle="1" w:styleId="Underline">
    <w:name w:val="Underline"/>
    <w:rsid w:val="009811B2"/>
    <w:rPr>
      <w:u w:val="single"/>
    </w:rPr>
  </w:style>
  <w:style w:type="paragraph" w:customStyle="1" w:styleId="tabletext">
    <w:name w:val="table text"/>
    <w:rsid w:val="009811B2"/>
    <w:pPr>
      <w:spacing w:after="0" w:line="240" w:lineRule="auto"/>
    </w:pPr>
    <w:rPr>
      <w:rFonts w:ascii="Arial" w:eastAsia="ヒラギノ角ゴ Pro W3" w:hAnsi="Arial"/>
      <w:color w:val="000000"/>
      <w:sz w:val="20"/>
      <w:szCs w:val="20"/>
    </w:rPr>
  </w:style>
</w:styles>
</file>

<file path=word/webSettings.xml><?xml version="1.0" encoding="utf-8"?>
<w:webSettings xmlns:r="http://schemas.openxmlformats.org/officeDocument/2006/relationships" xmlns:w="http://schemas.openxmlformats.org/wordprocessingml/2006/main">
  <w:divs>
    <w:div w:id="206458071">
      <w:bodyDiv w:val="1"/>
      <w:marLeft w:val="0"/>
      <w:marRight w:val="0"/>
      <w:marTop w:val="0"/>
      <w:marBottom w:val="0"/>
      <w:divBdr>
        <w:top w:val="none" w:sz="0" w:space="0" w:color="auto"/>
        <w:left w:val="none" w:sz="0" w:space="0" w:color="auto"/>
        <w:bottom w:val="none" w:sz="0" w:space="0" w:color="auto"/>
        <w:right w:val="none" w:sz="0" w:space="0" w:color="auto"/>
      </w:divBdr>
      <w:divsChild>
        <w:div w:id="286816073">
          <w:marLeft w:val="1685"/>
          <w:marRight w:val="0"/>
          <w:marTop w:val="96"/>
          <w:marBottom w:val="0"/>
          <w:divBdr>
            <w:top w:val="none" w:sz="0" w:space="0" w:color="auto"/>
            <w:left w:val="none" w:sz="0" w:space="0" w:color="auto"/>
            <w:bottom w:val="none" w:sz="0" w:space="0" w:color="auto"/>
            <w:right w:val="none" w:sz="0" w:space="0" w:color="auto"/>
          </w:divBdr>
        </w:div>
        <w:div w:id="1454128220">
          <w:marLeft w:val="1685"/>
          <w:marRight w:val="0"/>
          <w:marTop w:val="96"/>
          <w:marBottom w:val="0"/>
          <w:divBdr>
            <w:top w:val="none" w:sz="0" w:space="0" w:color="auto"/>
            <w:left w:val="none" w:sz="0" w:space="0" w:color="auto"/>
            <w:bottom w:val="none" w:sz="0" w:space="0" w:color="auto"/>
            <w:right w:val="none" w:sz="0" w:space="0" w:color="auto"/>
          </w:divBdr>
        </w:div>
        <w:div w:id="741755123">
          <w:marLeft w:val="1685"/>
          <w:marRight w:val="0"/>
          <w:marTop w:val="96"/>
          <w:marBottom w:val="0"/>
          <w:divBdr>
            <w:top w:val="none" w:sz="0" w:space="0" w:color="auto"/>
            <w:left w:val="none" w:sz="0" w:space="0" w:color="auto"/>
            <w:bottom w:val="none" w:sz="0" w:space="0" w:color="auto"/>
            <w:right w:val="none" w:sz="0" w:space="0" w:color="auto"/>
          </w:divBdr>
        </w:div>
        <w:div w:id="835340024">
          <w:marLeft w:val="1685"/>
          <w:marRight w:val="0"/>
          <w:marTop w:val="96"/>
          <w:marBottom w:val="0"/>
          <w:divBdr>
            <w:top w:val="none" w:sz="0" w:space="0" w:color="auto"/>
            <w:left w:val="none" w:sz="0" w:space="0" w:color="auto"/>
            <w:bottom w:val="none" w:sz="0" w:space="0" w:color="auto"/>
            <w:right w:val="none" w:sz="0" w:space="0" w:color="auto"/>
          </w:divBdr>
        </w:div>
        <w:div w:id="698701103">
          <w:marLeft w:val="1685"/>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6.jpeg"/><Relationship Id="rId3" Type="http://schemas.openxmlformats.org/officeDocument/2006/relationships/styles" Target="styles.xml"/><Relationship Id="rId21" Type="http://schemas.openxmlformats.org/officeDocument/2006/relationships/hyperlink" Target="http://www.ineesite.org"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5.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4.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www.ineesite.org/contextualisation" TargetMode="Externa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http://www.ineesite.org/toolkit"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08B00-EE93-4B35-BCE2-AECFD6253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Pages>
  <Words>5334</Words>
  <Characters>30409</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UN</Company>
  <LinksUpToDate>false</LinksUpToDate>
  <CharactersWithSpaces>35672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jsparkes</dc:creator>
  <cp:lastModifiedBy>James Sparkes</cp:lastModifiedBy>
  <cp:revision>34</cp:revision>
  <cp:lastPrinted>2010-06-18T10:37:00Z</cp:lastPrinted>
  <dcterms:created xsi:type="dcterms:W3CDTF">2010-08-23T17:03:00Z</dcterms:created>
  <dcterms:modified xsi:type="dcterms:W3CDTF">2010-12-07T13:24:00Z</dcterms:modified>
</cp:coreProperties>
</file>