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084533" w14:textId="77777777" w:rsidR="00D46FCD" w:rsidRPr="00D720BC" w:rsidRDefault="00C96C25" w:rsidP="00D720BC">
      <w:pPr>
        <w:jc w:val="both"/>
        <w:rPr>
          <w:sz w:val="22"/>
          <w:szCs w:val="22"/>
        </w:rPr>
      </w:pPr>
      <w:r>
        <w:rPr>
          <w:noProof/>
          <w:sz w:val="22"/>
          <w:szCs w:val="22"/>
          <w:lang w:val="en-US"/>
        </w:rPr>
        <w:drawing>
          <wp:inline distT="0" distB="0" distL="0" distR="0" wp14:anchorId="0D1DD7A1" wp14:editId="4CE5E872">
            <wp:extent cx="5760720" cy="87630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760720" cy="876300"/>
                    </a:xfrm>
                    <a:prstGeom prst="rect">
                      <a:avLst/>
                    </a:prstGeom>
                    <a:noFill/>
                  </pic:spPr>
                </pic:pic>
              </a:graphicData>
            </a:graphic>
          </wp:inline>
        </w:drawing>
      </w:r>
    </w:p>
    <w:p w14:paraId="1753852E" w14:textId="77777777" w:rsidR="00D46FCD" w:rsidRPr="00D720BC" w:rsidRDefault="00D46FCD" w:rsidP="00D720BC">
      <w:pPr>
        <w:jc w:val="both"/>
        <w:rPr>
          <w:rFonts w:ascii="Arial" w:hAnsi="Arial"/>
          <w:sz w:val="22"/>
          <w:szCs w:val="22"/>
        </w:rPr>
      </w:pPr>
    </w:p>
    <w:p w14:paraId="7A28EC68" w14:textId="77777777" w:rsidR="00790C42" w:rsidRPr="00D720BC" w:rsidRDefault="00790C42" w:rsidP="00D720BC">
      <w:pPr>
        <w:jc w:val="both"/>
        <w:rPr>
          <w:rFonts w:ascii="Arial" w:hAnsi="Arial"/>
          <w:b/>
          <w:sz w:val="22"/>
          <w:szCs w:val="22"/>
          <w:u w:val="single"/>
        </w:rPr>
      </w:pPr>
    </w:p>
    <w:p w14:paraId="0F02428D" w14:textId="77777777" w:rsidR="00790C42" w:rsidRPr="00D720BC" w:rsidRDefault="00790C42" w:rsidP="00D720BC">
      <w:pPr>
        <w:jc w:val="both"/>
        <w:rPr>
          <w:rFonts w:ascii="Arial" w:hAnsi="Arial" w:cs="Arial"/>
          <w:b/>
          <w:sz w:val="22"/>
          <w:szCs w:val="22"/>
          <w:u w:val="single"/>
          <w:rtl/>
        </w:rPr>
      </w:pPr>
    </w:p>
    <w:p w14:paraId="64BFDCEF" w14:textId="77777777" w:rsidR="00790C42" w:rsidRPr="00D720BC" w:rsidRDefault="00790C42" w:rsidP="004F606B">
      <w:pPr>
        <w:bidi/>
        <w:jc w:val="center"/>
        <w:rPr>
          <w:rFonts w:ascii="Arial" w:hAnsi="Arial"/>
          <w:b/>
          <w:sz w:val="22"/>
          <w:szCs w:val="22"/>
          <w:u w:val="single"/>
          <w:lang w:val="de-DE" w:bidi="ar-JO"/>
        </w:rPr>
      </w:pPr>
      <w:r w:rsidRPr="00D720BC">
        <w:rPr>
          <w:rFonts w:ascii="Arial" w:hAnsi="Arial" w:hint="cs"/>
          <w:b/>
          <w:sz w:val="22"/>
          <w:szCs w:val="22"/>
          <w:u w:val="single"/>
          <w:rtl/>
          <w:lang w:bidi="ar-JO"/>
        </w:rPr>
        <w:t xml:space="preserve">ملخص الشبكة المشتركة </w:t>
      </w:r>
      <w:r w:rsidR="004F606B">
        <w:rPr>
          <w:rFonts w:ascii="Arial" w:hAnsi="Arial" w:hint="cs"/>
          <w:b/>
          <w:sz w:val="22"/>
          <w:szCs w:val="22"/>
          <w:u w:val="single"/>
          <w:rtl/>
          <w:lang w:bidi="ar-JO"/>
        </w:rPr>
        <w:t>ل</w:t>
      </w:r>
      <w:r w:rsidRPr="00D720BC">
        <w:rPr>
          <w:rFonts w:ascii="Arial" w:hAnsi="Arial" w:hint="cs"/>
          <w:b/>
          <w:sz w:val="22"/>
          <w:szCs w:val="22"/>
          <w:u w:val="single"/>
          <w:rtl/>
          <w:lang w:bidi="ar-JO"/>
        </w:rPr>
        <w:t>لتعليم في حالات الطوارئ</w:t>
      </w:r>
    </w:p>
    <w:p w14:paraId="2F8BA221" w14:textId="77777777" w:rsidR="00790C42" w:rsidRPr="00D720BC" w:rsidRDefault="00790C42" w:rsidP="002A0F81">
      <w:pPr>
        <w:bidi/>
        <w:jc w:val="center"/>
        <w:rPr>
          <w:rFonts w:ascii="Arial" w:hAnsi="Arial"/>
          <w:b/>
          <w:sz w:val="22"/>
          <w:szCs w:val="22"/>
          <w:u w:val="single"/>
          <w:rtl/>
          <w:lang w:bidi="ar-JO"/>
        </w:rPr>
      </w:pPr>
      <w:r w:rsidRPr="00D720BC">
        <w:rPr>
          <w:rFonts w:ascii="Arial" w:hAnsi="Arial" w:hint="cs"/>
          <w:b/>
          <w:sz w:val="22"/>
          <w:szCs w:val="22"/>
          <w:u w:val="single"/>
          <w:rtl/>
          <w:lang w:bidi="ar-JO"/>
        </w:rPr>
        <w:t>موجز المجالات الموضوعية: الشباب</w:t>
      </w:r>
    </w:p>
    <w:p w14:paraId="1AD795A5" w14:textId="77777777" w:rsidR="00D46FCD" w:rsidRPr="00D720BC" w:rsidRDefault="00D46FCD" w:rsidP="00D720BC">
      <w:pPr>
        <w:jc w:val="both"/>
        <w:rPr>
          <w:rFonts w:ascii="Arial" w:hAnsi="Arial"/>
          <w:b/>
          <w:sz w:val="22"/>
          <w:szCs w:val="22"/>
          <w:u w:val="single"/>
        </w:rPr>
      </w:pPr>
      <w:r w:rsidRPr="00D720BC">
        <w:rPr>
          <w:b/>
          <w:sz w:val="22"/>
          <w:szCs w:val="22"/>
          <w:u w:val="single"/>
        </w:rPr>
        <w:br/>
      </w:r>
    </w:p>
    <w:p w14:paraId="5B94A39F" w14:textId="77777777" w:rsidR="00D46FCD" w:rsidRPr="00D720BC" w:rsidRDefault="00790C42" w:rsidP="00D720BC">
      <w:pPr>
        <w:bidi/>
        <w:jc w:val="both"/>
        <w:rPr>
          <w:rFonts w:ascii="Arial" w:hAnsi="Arial"/>
          <w:bCs/>
          <w:sz w:val="22"/>
          <w:szCs w:val="22"/>
          <w:u w:val="single"/>
          <w:rtl/>
        </w:rPr>
      </w:pPr>
      <w:r w:rsidRPr="00D720BC">
        <w:rPr>
          <w:rFonts w:ascii="Arial" w:hAnsi="Arial" w:hint="cs"/>
          <w:bCs/>
          <w:sz w:val="22"/>
          <w:szCs w:val="22"/>
          <w:u w:val="single"/>
          <w:rtl/>
        </w:rPr>
        <w:t>التعريف</w:t>
      </w:r>
    </w:p>
    <w:p w14:paraId="7055EBF1" w14:textId="77777777" w:rsidR="00790C42" w:rsidRPr="00D720BC" w:rsidRDefault="00790C42" w:rsidP="00D720BC">
      <w:pPr>
        <w:bidi/>
        <w:jc w:val="both"/>
        <w:rPr>
          <w:rFonts w:ascii="Arial" w:hAnsi="Arial"/>
          <w:b/>
          <w:sz w:val="22"/>
          <w:szCs w:val="22"/>
          <w:rtl/>
        </w:rPr>
      </w:pPr>
    </w:p>
    <w:p w14:paraId="2B496CF2" w14:textId="77777777" w:rsidR="00790C42" w:rsidRPr="00D720BC" w:rsidRDefault="00790C42" w:rsidP="004F606B">
      <w:pPr>
        <w:bidi/>
        <w:jc w:val="both"/>
        <w:rPr>
          <w:rFonts w:ascii="Arial" w:hAnsi="Arial"/>
          <w:b/>
          <w:sz w:val="22"/>
          <w:szCs w:val="22"/>
          <w:rtl/>
        </w:rPr>
      </w:pPr>
      <w:r w:rsidRPr="00D720BC">
        <w:rPr>
          <w:rFonts w:ascii="Arial" w:hAnsi="Arial" w:hint="cs"/>
          <w:b/>
          <w:sz w:val="22"/>
          <w:szCs w:val="22"/>
          <w:rtl/>
        </w:rPr>
        <w:t xml:space="preserve">تستخدم الحكومات والمجتمعات الدولية عددا من التعريفات المتداخلة لتصنيف الأطفال واليافعين والشباب. ففي بعض الدول </w:t>
      </w:r>
      <w:r w:rsidR="004F606B">
        <w:rPr>
          <w:rFonts w:ascii="Arial" w:hAnsi="Arial" w:hint="cs"/>
          <w:b/>
          <w:sz w:val="22"/>
          <w:szCs w:val="22"/>
          <w:rtl/>
        </w:rPr>
        <w:t>يشمل تعريف</w:t>
      </w:r>
      <w:r w:rsidRPr="00D720BC">
        <w:rPr>
          <w:rFonts w:ascii="Arial" w:hAnsi="Arial" w:hint="cs"/>
          <w:b/>
          <w:sz w:val="22"/>
          <w:szCs w:val="22"/>
          <w:rtl/>
        </w:rPr>
        <w:t xml:space="preserve"> الحكومة </w:t>
      </w:r>
      <w:r w:rsidR="004F606B">
        <w:rPr>
          <w:rFonts w:ascii="Arial" w:hAnsi="Arial" w:hint="cs"/>
          <w:b/>
          <w:sz w:val="22"/>
          <w:szCs w:val="22"/>
          <w:rtl/>
        </w:rPr>
        <w:t xml:space="preserve">للشباب </w:t>
      </w:r>
      <w:r w:rsidRPr="00D720BC">
        <w:rPr>
          <w:rFonts w:ascii="Arial" w:hAnsi="Arial" w:hint="cs"/>
          <w:b/>
          <w:sz w:val="22"/>
          <w:szCs w:val="22"/>
          <w:rtl/>
        </w:rPr>
        <w:t>الأشخاص</w:t>
      </w:r>
      <w:r w:rsidR="004F606B">
        <w:rPr>
          <w:rFonts w:ascii="Arial" w:hAnsi="Arial" w:hint="cs"/>
          <w:b/>
          <w:sz w:val="22"/>
          <w:szCs w:val="22"/>
          <w:rtl/>
        </w:rPr>
        <w:t xml:space="preserve"> الذين تصل أعمارهم إلى 35 سنة. ففيما ت</w:t>
      </w:r>
      <w:r w:rsidRPr="00D720BC">
        <w:rPr>
          <w:rFonts w:ascii="Arial" w:hAnsi="Arial" w:hint="cs"/>
          <w:b/>
          <w:sz w:val="22"/>
          <w:szCs w:val="22"/>
          <w:rtl/>
        </w:rPr>
        <w:t xml:space="preserve">عتمد </w:t>
      </w:r>
      <w:r w:rsidR="004F606B">
        <w:rPr>
          <w:rFonts w:ascii="Arial" w:hAnsi="Arial" w:hint="cs"/>
          <w:b/>
          <w:sz w:val="22"/>
          <w:szCs w:val="22"/>
          <w:rtl/>
        </w:rPr>
        <w:t>مرحلة</w:t>
      </w:r>
      <w:r w:rsidRPr="00D720BC">
        <w:rPr>
          <w:rFonts w:ascii="Arial" w:hAnsi="Arial" w:hint="cs"/>
          <w:b/>
          <w:sz w:val="22"/>
          <w:szCs w:val="22"/>
          <w:rtl/>
        </w:rPr>
        <w:t xml:space="preserve"> اليافعين أو الشباب كمرحلة واضحة في حياة المرء على الثقافة وعدد من العوامل الأخرى، </w:t>
      </w:r>
      <w:r w:rsidR="002A0F81">
        <w:rPr>
          <w:rFonts w:ascii="Arial" w:hAnsi="Arial" w:hint="cs"/>
          <w:b/>
          <w:sz w:val="22"/>
          <w:szCs w:val="22"/>
          <w:rtl/>
        </w:rPr>
        <w:t>وبالرغم من أن</w:t>
      </w:r>
      <w:r w:rsidRPr="00D720BC">
        <w:rPr>
          <w:rFonts w:ascii="Arial" w:hAnsi="Arial" w:hint="cs"/>
          <w:b/>
          <w:sz w:val="22"/>
          <w:szCs w:val="22"/>
          <w:rtl/>
        </w:rPr>
        <w:t xml:space="preserve"> البرامج</w:t>
      </w:r>
      <w:r w:rsidR="002A0F81">
        <w:rPr>
          <w:rFonts w:ascii="Arial" w:hAnsi="Arial" w:hint="cs"/>
          <w:b/>
          <w:sz w:val="22"/>
          <w:szCs w:val="22"/>
          <w:rtl/>
        </w:rPr>
        <w:t xml:space="preserve"> المعدة</w:t>
      </w:r>
      <w:r w:rsidRPr="00D720BC">
        <w:rPr>
          <w:rFonts w:ascii="Arial" w:hAnsi="Arial" w:hint="cs"/>
          <w:b/>
          <w:sz w:val="22"/>
          <w:szCs w:val="22"/>
          <w:rtl/>
        </w:rPr>
        <w:t xml:space="preserve"> لهذه </w:t>
      </w:r>
      <w:r w:rsidR="004F606B">
        <w:rPr>
          <w:rFonts w:ascii="Arial" w:hAnsi="Arial" w:hint="cs"/>
          <w:b/>
          <w:sz w:val="22"/>
          <w:szCs w:val="22"/>
          <w:rtl/>
        </w:rPr>
        <w:t>الفئة</w:t>
      </w:r>
      <w:r w:rsidRPr="00D720BC">
        <w:rPr>
          <w:rFonts w:ascii="Arial" w:hAnsi="Arial" w:hint="cs"/>
          <w:b/>
          <w:sz w:val="22"/>
          <w:szCs w:val="22"/>
          <w:rtl/>
        </w:rPr>
        <w:t xml:space="preserve"> </w:t>
      </w:r>
      <w:r w:rsidR="002A0F81">
        <w:rPr>
          <w:rFonts w:ascii="Arial" w:hAnsi="Arial" w:hint="cs"/>
          <w:b/>
          <w:sz w:val="22"/>
          <w:szCs w:val="22"/>
          <w:rtl/>
        </w:rPr>
        <w:t xml:space="preserve">قد تغطي </w:t>
      </w:r>
      <w:r w:rsidRPr="00D720BC">
        <w:rPr>
          <w:rFonts w:ascii="Arial" w:hAnsi="Arial" w:hint="cs"/>
          <w:b/>
          <w:sz w:val="22"/>
          <w:szCs w:val="22"/>
          <w:rtl/>
        </w:rPr>
        <w:t xml:space="preserve">أفرادا أكبر وأصغر من المجموعة المستهدفة، </w:t>
      </w:r>
      <w:r w:rsidR="002A0F81">
        <w:rPr>
          <w:rFonts w:ascii="Arial" w:hAnsi="Arial" w:hint="cs"/>
          <w:b/>
          <w:sz w:val="22"/>
          <w:szCs w:val="22"/>
          <w:rtl/>
        </w:rPr>
        <w:t>إلا أن</w:t>
      </w:r>
      <w:r w:rsidRPr="00D720BC">
        <w:rPr>
          <w:rFonts w:ascii="Arial" w:hAnsi="Arial" w:hint="cs"/>
          <w:b/>
          <w:sz w:val="22"/>
          <w:szCs w:val="22"/>
          <w:rtl/>
        </w:rPr>
        <w:t xml:space="preserve"> الحد الأدنى </w:t>
      </w:r>
      <w:r w:rsidR="004F606B">
        <w:rPr>
          <w:rFonts w:ascii="Arial" w:hAnsi="Arial" w:hint="cs"/>
          <w:b/>
          <w:sz w:val="22"/>
          <w:szCs w:val="22"/>
          <w:rtl/>
        </w:rPr>
        <w:t>لل</w:t>
      </w:r>
      <w:r w:rsidRPr="00D720BC">
        <w:rPr>
          <w:rFonts w:ascii="Arial" w:hAnsi="Arial" w:hint="cs"/>
          <w:b/>
          <w:sz w:val="22"/>
          <w:szCs w:val="22"/>
          <w:rtl/>
        </w:rPr>
        <w:t xml:space="preserve">معايير </w:t>
      </w:r>
      <w:r w:rsidR="004F606B">
        <w:rPr>
          <w:rFonts w:ascii="Arial" w:hAnsi="Arial" w:hint="cs"/>
          <w:b/>
          <w:sz w:val="22"/>
          <w:szCs w:val="22"/>
          <w:rtl/>
        </w:rPr>
        <w:t>من الآيني</w:t>
      </w:r>
      <w:r w:rsidRPr="00D720BC">
        <w:rPr>
          <w:rFonts w:ascii="Arial" w:hAnsi="Arial" w:hint="cs"/>
          <w:b/>
          <w:sz w:val="22"/>
          <w:szCs w:val="22"/>
          <w:rtl/>
        </w:rPr>
        <w:t xml:space="preserve"> </w:t>
      </w:r>
      <w:r w:rsidR="002A0F81">
        <w:rPr>
          <w:rFonts w:ascii="Arial" w:hAnsi="Arial" w:hint="cs"/>
          <w:b/>
          <w:sz w:val="22"/>
          <w:szCs w:val="22"/>
          <w:rtl/>
        </w:rPr>
        <w:t xml:space="preserve">يستخدم </w:t>
      </w:r>
      <w:r w:rsidRPr="00D720BC">
        <w:rPr>
          <w:rFonts w:ascii="Arial" w:hAnsi="Arial" w:hint="cs"/>
          <w:b/>
          <w:sz w:val="22"/>
          <w:szCs w:val="22"/>
          <w:rtl/>
        </w:rPr>
        <w:t xml:space="preserve">تعبير "شباب" </w:t>
      </w:r>
      <w:r w:rsidR="002A0F81">
        <w:rPr>
          <w:rFonts w:ascii="Arial" w:hAnsi="Arial" w:hint="cs"/>
          <w:b/>
          <w:sz w:val="22"/>
          <w:szCs w:val="22"/>
          <w:rtl/>
        </w:rPr>
        <w:t>للإشارة</w:t>
      </w:r>
      <w:r w:rsidRPr="00D720BC">
        <w:rPr>
          <w:rFonts w:ascii="Arial" w:hAnsi="Arial" w:hint="cs"/>
          <w:b/>
          <w:sz w:val="22"/>
          <w:szCs w:val="22"/>
          <w:rtl/>
        </w:rPr>
        <w:t xml:space="preserve"> إلى </w:t>
      </w:r>
      <w:r w:rsidR="00591212" w:rsidRPr="00D720BC">
        <w:rPr>
          <w:rFonts w:ascii="Arial" w:hAnsi="Arial" w:hint="cs"/>
          <w:b/>
          <w:sz w:val="22"/>
          <w:szCs w:val="22"/>
          <w:rtl/>
        </w:rPr>
        <w:t>الأفراد</w:t>
      </w:r>
      <w:r w:rsidR="004F606B">
        <w:rPr>
          <w:rFonts w:ascii="Arial" w:hAnsi="Arial" w:hint="cs"/>
          <w:b/>
          <w:sz w:val="22"/>
          <w:szCs w:val="22"/>
          <w:rtl/>
        </w:rPr>
        <w:t xml:space="preserve"> الذين تتراوح أعمارهم</w:t>
      </w:r>
      <w:r w:rsidR="00591212" w:rsidRPr="00D720BC">
        <w:rPr>
          <w:rFonts w:ascii="Arial" w:hAnsi="Arial" w:hint="cs"/>
          <w:b/>
          <w:sz w:val="22"/>
          <w:szCs w:val="22"/>
          <w:rtl/>
        </w:rPr>
        <w:t xml:space="preserve"> بين سن 15 -</w:t>
      </w:r>
      <w:r w:rsidR="002A0F81">
        <w:rPr>
          <w:rFonts w:ascii="Arial" w:hAnsi="Arial" w:hint="cs"/>
          <w:b/>
          <w:sz w:val="22"/>
          <w:szCs w:val="22"/>
          <w:rtl/>
        </w:rPr>
        <w:t xml:space="preserve"> 24 سنة، بينما يشير مصطلح "يافعو</w:t>
      </w:r>
      <w:r w:rsidR="00591212" w:rsidRPr="00D720BC">
        <w:rPr>
          <w:rFonts w:ascii="Arial" w:hAnsi="Arial" w:hint="cs"/>
          <w:b/>
          <w:sz w:val="22"/>
          <w:szCs w:val="22"/>
          <w:rtl/>
        </w:rPr>
        <w:t>ن" للأشخاص الذين تتراوح أعمارهم بين 10 - 19 سنة.</w:t>
      </w:r>
    </w:p>
    <w:p w14:paraId="3AE54513" w14:textId="77777777" w:rsidR="00591212" w:rsidRPr="00D720BC" w:rsidRDefault="00591212" w:rsidP="00D720BC">
      <w:pPr>
        <w:bidi/>
        <w:jc w:val="both"/>
        <w:rPr>
          <w:rFonts w:ascii="Arial" w:hAnsi="Arial"/>
          <w:b/>
          <w:sz w:val="22"/>
          <w:szCs w:val="22"/>
          <w:rtl/>
        </w:rPr>
      </w:pPr>
      <w:r w:rsidRPr="00D720BC">
        <w:rPr>
          <w:rFonts w:ascii="Arial" w:hAnsi="Arial" w:hint="cs"/>
          <w:b/>
          <w:sz w:val="22"/>
          <w:szCs w:val="22"/>
          <w:rtl/>
        </w:rPr>
        <w:t>يشكل الشباب واليافعون بين سن 10 - 24 سنة مع بعضهم البعض الفئة الأكبر من الجيل الشاب. ويمكن أن يكون في الدولة أو الثقافة أعمار مختلفة يعتبر فيها الفرد ناضحا كفاية ليتولى مهاما معينة. وتكون احتياجات اليافعين في حالات الطوارئ مختلفة عن احتياجات البالغين والأطفال الصغار. تمثل مرحلة الشباب الفترة التي يتقدم فيها الإنسان نحو التمكن من تحمل مسؤولي</w:t>
      </w:r>
      <w:r w:rsidR="004F606B">
        <w:rPr>
          <w:rFonts w:ascii="Arial" w:hAnsi="Arial" w:hint="cs"/>
          <w:b/>
          <w:sz w:val="22"/>
          <w:szCs w:val="22"/>
          <w:rtl/>
        </w:rPr>
        <w:t>ا</w:t>
      </w:r>
      <w:r w:rsidRPr="00D720BC">
        <w:rPr>
          <w:rFonts w:ascii="Arial" w:hAnsi="Arial" w:hint="cs"/>
          <w:b/>
          <w:sz w:val="22"/>
          <w:szCs w:val="22"/>
          <w:rtl/>
        </w:rPr>
        <w:t>ته بشكل مستقل.</w:t>
      </w:r>
    </w:p>
    <w:p w14:paraId="0897B67C" w14:textId="77777777" w:rsidR="00591212" w:rsidRPr="00D720BC" w:rsidRDefault="00591212" w:rsidP="00D720BC">
      <w:pPr>
        <w:bidi/>
        <w:jc w:val="both"/>
        <w:rPr>
          <w:rFonts w:ascii="Arial" w:hAnsi="Arial"/>
          <w:b/>
          <w:sz w:val="22"/>
          <w:szCs w:val="22"/>
          <w:rtl/>
        </w:rPr>
      </w:pPr>
    </w:p>
    <w:p w14:paraId="3F405896" w14:textId="77777777" w:rsidR="00591212" w:rsidRPr="00D720BC" w:rsidRDefault="00591212" w:rsidP="00D720BC">
      <w:pPr>
        <w:bidi/>
        <w:jc w:val="both"/>
        <w:rPr>
          <w:rFonts w:ascii="Arial" w:hAnsi="Arial" w:cs="Arial"/>
          <w:bCs/>
          <w:sz w:val="22"/>
          <w:szCs w:val="22"/>
          <w:u w:val="single"/>
          <w:rtl/>
        </w:rPr>
      </w:pPr>
      <w:r w:rsidRPr="00D720BC">
        <w:rPr>
          <w:rFonts w:ascii="Arial" w:hAnsi="Arial" w:hint="cs"/>
          <w:bCs/>
          <w:sz w:val="22"/>
          <w:szCs w:val="22"/>
          <w:u w:val="single"/>
          <w:rtl/>
        </w:rPr>
        <w:t xml:space="preserve">الشباب </w:t>
      </w:r>
      <w:r w:rsidRPr="00D720BC">
        <w:rPr>
          <w:rFonts w:ascii="Arial" w:hAnsi="Arial" w:cs="Arial" w:hint="cs"/>
          <w:bCs/>
          <w:sz w:val="22"/>
          <w:szCs w:val="22"/>
          <w:u w:val="single"/>
          <w:rtl/>
        </w:rPr>
        <w:t>كمجال موضوعي:</w:t>
      </w:r>
    </w:p>
    <w:p w14:paraId="22934C69" w14:textId="77777777" w:rsidR="00591212" w:rsidRPr="00D720BC" w:rsidRDefault="00591212" w:rsidP="004F606B">
      <w:pPr>
        <w:bidi/>
        <w:jc w:val="both"/>
        <w:rPr>
          <w:rFonts w:ascii="Arial" w:hAnsi="Arial" w:cs="Arial"/>
          <w:b/>
          <w:sz w:val="22"/>
          <w:szCs w:val="22"/>
        </w:rPr>
      </w:pPr>
      <w:r w:rsidRPr="00D720BC">
        <w:rPr>
          <w:rFonts w:ascii="Arial" w:hAnsi="Arial" w:cs="Arial" w:hint="cs"/>
          <w:b/>
          <w:sz w:val="22"/>
          <w:szCs w:val="22"/>
          <w:rtl/>
        </w:rPr>
        <w:t>يتمتع الشباب بالحق في التعليم كما هو وارد في العديد من الاتفاقيات العالمية لحقوق الإنسان، حيث تح</w:t>
      </w:r>
      <w:r w:rsidR="00E8467B" w:rsidRPr="00D720BC">
        <w:rPr>
          <w:rFonts w:ascii="Arial" w:hAnsi="Arial" w:cs="Arial" w:hint="cs"/>
          <w:b/>
          <w:sz w:val="22"/>
          <w:szCs w:val="22"/>
          <w:rtl/>
        </w:rPr>
        <w:t xml:space="preserve">دد هذه الاتفاقيات حق جميع الأطفال في الحصول على التعليم الأساسي المجاني والإلزامي، ومسؤولية الحكومة في توفير التعليم الأساسي للأفراد الذين لم يكملوا التعليم الأساسي، والتزام الدولة في </w:t>
      </w:r>
      <w:r w:rsidR="004F606B">
        <w:rPr>
          <w:rFonts w:ascii="Arial" w:hAnsi="Arial" w:cs="Arial" w:hint="cs"/>
          <w:b/>
          <w:sz w:val="22"/>
          <w:szCs w:val="22"/>
          <w:rtl/>
        </w:rPr>
        <w:t>توفير</w:t>
      </w:r>
      <w:r w:rsidR="00E8467B" w:rsidRPr="00D720BC">
        <w:rPr>
          <w:rFonts w:ascii="Arial" w:hAnsi="Arial" w:cs="Arial" w:hint="cs"/>
          <w:b/>
          <w:sz w:val="22"/>
          <w:szCs w:val="22"/>
          <w:rtl/>
        </w:rPr>
        <w:t xml:space="preserve"> التعليم الإعدادي لجميع الأطفال وضمان قدرتهم على الوصول للتعليم العالي بشكل منصف. كما تتحمل الحكومات والمجتمع الدولي مسؤولية مساعدة الشباب في ممارسة حقهم </w:t>
      </w:r>
      <w:r w:rsidR="002A0F81">
        <w:rPr>
          <w:rFonts w:ascii="Arial" w:hAnsi="Arial" w:cs="Arial" w:hint="cs"/>
          <w:b/>
          <w:sz w:val="22"/>
          <w:szCs w:val="22"/>
          <w:rtl/>
        </w:rPr>
        <w:t>ب</w:t>
      </w:r>
      <w:r w:rsidR="00E8467B" w:rsidRPr="00D720BC">
        <w:rPr>
          <w:rFonts w:ascii="Arial" w:hAnsi="Arial" w:cs="Arial" w:hint="cs"/>
          <w:b/>
          <w:sz w:val="22"/>
          <w:szCs w:val="22"/>
          <w:rtl/>
        </w:rPr>
        <w:t>المشاركة، بما في ذلك المشاركة في الاستجابة لحالات الطوارئ.</w:t>
      </w:r>
    </w:p>
    <w:p w14:paraId="07E70A6D" w14:textId="77777777" w:rsidR="00D83570" w:rsidRPr="00D720BC" w:rsidRDefault="00D83570" w:rsidP="00D720BC">
      <w:pPr>
        <w:bidi/>
        <w:jc w:val="both"/>
        <w:rPr>
          <w:rFonts w:ascii="Arial" w:hAnsi="Arial" w:cs="Arial"/>
          <w:b/>
          <w:sz w:val="22"/>
          <w:szCs w:val="22"/>
        </w:rPr>
      </w:pPr>
    </w:p>
    <w:p w14:paraId="4587A681" w14:textId="77777777" w:rsidR="00D83570" w:rsidRPr="00D720BC" w:rsidRDefault="00D83570" w:rsidP="004F606B">
      <w:pPr>
        <w:bidi/>
        <w:jc w:val="both"/>
        <w:rPr>
          <w:rFonts w:ascii="Arial" w:hAnsi="Arial" w:cs="Arial"/>
          <w:b/>
          <w:sz w:val="22"/>
          <w:szCs w:val="22"/>
          <w:rtl/>
          <w:lang w:bidi="ar-JO"/>
        </w:rPr>
      </w:pPr>
      <w:r w:rsidRPr="00D720BC">
        <w:rPr>
          <w:rFonts w:ascii="Arial" w:hAnsi="Arial" w:cs="Arial" w:hint="cs"/>
          <w:b/>
          <w:sz w:val="22"/>
          <w:szCs w:val="22"/>
          <w:rtl/>
          <w:lang w:bidi="ar-JO"/>
        </w:rPr>
        <w:t xml:space="preserve">وبالرغم من هذه الحقوق والمسؤوليات، تميل الجهات الفاعلة </w:t>
      </w:r>
      <w:r w:rsidR="004F606B">
        <w:rPr>
          <w:rFonts w:ascii="Arial" w:hAnsi="Arial" w:cs="Arial" w:hint="cs"/>
          <w:b/>
          <w:sz w:val="22"/>
          <w:szCs w:val="22"/>
          <w:rtl/>
          <w:lang w:bidi="ar-JO"/>
        </w:rPr>
        <w:t>في مجال الإغاثة الإنسانية</w:t>
      </w:r>
      <w:r w:rsidRPr="00D720BC">
        <w:rPr>
          <w:rFonts w:ascii="Arial" w:hAnsi="Arial" w:cs="Arial" w:hint="cs"/>
          <w:b/>
          <w:sz w:val="22"/>
          <w:szCs w:val="22"/>
          <w:rtl/>
          <w:lang w:bidi="ar-JO"/>
        </w:rPr>
        <w:t xml:space="preserve"> و</w:t>
      </w:r>
      <w:r w:rsidR="004F606B">
        <w:rPr>
          <w:rFonts w:ascii="Arial" w:hAnsi="Arial" w:cs="Arial" w:hint="cs"/>
          <w:b/>
          <w:sz w:val="22"/>
          <w:szCs w:val="22"/>
          <w:rtl/>
          <w:lang w:bidi="ar-JO"/>
        </w:rPr>
        <w:t xml:space="preserve">المنظمات </w:t>
      </w:r>
      <w:r w:rsidRPr="00D720BC">
        <w:rPr>
          <w:rFonts w:ascii="Arial" w:hAnsi="Arial" w:cs="Arial" w:hint="cs"/>
          <w:b/>
          <w:sz w:val="22"/>
          <w:szCs w:val="22"/>
          <w:rtl/>
          <w:lang w:bidi="ar-JO"/>
        </w:rPr>
        <w:t>الحكومية لإعطاء الأولوية لاحتياجات الأطفال الأصغر سنا في حالات الطوارئ، و</w:t>
      </w:r>
      <w:r w:rsidR="002A0F81">
        <w:rPr>
          <w:rFonts w:ascii="Arial" w:hAnsi="Arial" w:cs="Arial" w:hint="cs"/>
          <w:b/>
          <w:sz w:val="22"/>
          <w:szCs w:val="22"/>
          <w:rtl/>
          <w:lang w:bidi="ar-JO"/>
        </w:rPr>
        <w:t xml:space="preserve">هم </w:t>
      </w:r>
      <w:r w:rsidRPr="00D720BC">
        <w:rPr>
          <w:rFonts w:ascii="Arial" w:hAnsi="Arial" w:cs="Arial" w:hint="cs"/>
          <w:b/>
          <w:sz w:val="22"/>
          <w:szCs w:val="22"/>
          <w:rtl/>
          <w:lang w:bidi="ar-JO"/>
        </w:rPr>
        <w:t xml:space="preserve">يخفقون، باعترافهم، في تلبية احتياجات الشباب. ويبقى تمويل برامج حالات الطوارئ التي تستهدف الشباب بشكل صريح، وخاصة الشباب خارج المدرسة قليلة جدا. </w:t>
      </w:r>
      <w:r w:rsidR="002A0F81">
        <w:rPr>
          <w:rFonts w:ascii="Arial" w:hAnsi="Arial" w:cs="Arial" w:hint="cs"/>
          <w:b/>
          <w:sz w:val="22"/>
          <w:szCs w:val="22"/>
          <w:rtl/>
          <w:lang w:bidi="ar-JO"/>
        </w:rPr>
        <w:t>كثيرا ما يتم</w:t>
      </w:r>
      <w:r w:rsidRPr="00D720BC">
        <w:rPr>
          <w:rFonts w:ascii="Arial" w:hAnsi="Arial" w:cs="Arial" w:hint="cs"/>
          <w:b/>
          <w:sz w:val="22"/>
          <w:szCs w:val="22"/>
          <w:rtl/>
          <w:lang w:bidi="ar-JO"/>
        </w:rPr>
        <w:t xml:space="preserve"> </w:t>
      </w:r>
      <w:r w:rsidR="002A0F81">
        <w:rPr>
          <w:rFonts w:ascii="Arial" w:hAnsi="Arial" w:cs="Arial" w:hint="cs"/>
          <w:b/>
          <w:sz w:val="22"/>
          <w:szCs w:val="22"/>
          <w:rtl/>
          <w:lang w:bidi="ar-JO"/>
        </w:rPr>
        <w:t>تصنيف</w:t>
      </w:r>
      <w:r w:rsidRPr="00D720BC">
        <w:rPr>
          <w:rFonts w:ascii="Arial" w:hAnsi="Arial" w:cs="Arial" w:hint="cs"/>
          <w:b/>
          <w:sz w:val="22"/>
          <w:szCs w:val="22"/>
          <w:rtl/>
          <w:lang w:bidi="ar-JO"/>
        </w:rPr>
        <w:t xml:space="preserve"> الشباب عند إعداد البرامج مع الأطفال الأصغر سنا أو مع الكبار. وفي الوقت الذي قد يستفيد الكثير منهم من القدرة على الوصول لخيارات التعليم غير النظامي، ترى الحكومات في كثير من الأحيان أن هذه الفرص أقل شرعية من التعليم النظامي، وبالتالي لا تعطيهم الأولوية وت</w:t>
      </w:r>
      <w:r w:rsidR="004F606B">
        <w:rPr>
          <w:rFonts w:ascii="Arial" w:hAnsi="Arial" w:cs="Arial" w:hint="cs"/>
          <w:b/>
          <w:sz w:val="22"/>
          <w:szCs w:val="22"/>
          <w:rtl/>
          <w:lang w:bidi="ar-JO"/>
        </w:rPr>
        <w:t>ترك فئات كبيرة من الشباب محبطين</w:t>
      </w:r>
      <w:r w:rsidRPr="00D720BC">
        <w:rPr>
          <w:rFonts w:ascii="Arial" w:hAnsi="Arial" w:cs="Arial" w:hint="cs"/>
          <w:b/>
          <w:sz w:val="22"/>
          <w:szCs w:val="22"/>
          <w:rtl/>
          <w:lang w:bidi="ar-JO"/>
        </w:rPr>
        <w:t xml:space="preserve"> وعاطلين عن العمل، </w:t>
      </w:r>
      <w:r w:rsidR="004F606B">
        <w:rPr>
          <w:rFonts w:ascii="Arial" w:hAnsi="Arial" w:cs="Arial" w:hint="cs"/>
          <w:b/>
          <w:sz w:val="22"/>
          <w:szCs w:val="22"/>
          <w:rtl/>
          <w:lang w:bidi="ar-JO"/>
        </w:rPr>
        <w:t>أو في وضع لا يمكنهم من إيجاد عمل</w:t>
      </w:r>
      <w:r w:rsidRPr="00D720BC">
        <w:rPr>
          <w:rFonts w:ascii="Arial" w:hAnsi="Arial" w:cs="Arial" w:hint="cs"/>
          <w:b/>
          <w:sz w:val="22"/>
          <w:szCs w:val="22"/>
          <w:rtl/>
          <w:lang w:bidi="ar-JO"/>
        </w:rPr>
        <w:t>.</w:t>
      </w:r>
    </w:p>
    <w:p w14:paraId="000B7178" w14:textId="77777777" w:rsidR="00D83570" w:rsidRPr="00D720BC" w:rsidRDefault="00D83570" w:rsidP="00D720BC">
      <w:pPr>
        <w:bidi/>
        <w:jc w:val="both"/>
        <w:rPr>
          <w:rFonts w:ascii="Arial" w:hAnsi="Arial" w:cs="Arial"/>
          <w:b/>
          <w:sz w:val="22"/>
          <w:szCs w:val="22"/>
          <w:rtl/>
          <w:lang w:bidi="ar-JO"/>
        </w:rPr>
      </w:pPr>
    </w:p>
    <w:p w14:paraId="520CAA76" w14:textId="77777777" w:rsidR="00D83570" w:rsidRPr="00D720BC" w:rsidRDefault="00D83570" w:rsidP="002A0F81">
      <w:pPr>
        <w:bidi/>
        <w:jc w:val="both"/>
        <w:rPr>
          <w:rFonts w:ascii="Arial" w:hAnsi="Arial" w:cs="Arial"/>
          <w:b/>
          <w:sz w:val="22"/>
          <w:szCs w:val="22"/>
          <w:rtl/>
          <w:lang w:bidi="ar-JO"/>
        </w:rPr>
      </w:pPr>
      <w:r w:rsidRPr="00D720BC">
        <w:rPr>
          <w:rFonts w:ascii="Arial" w:hAnsi="Arial" w:cs="Arial" w:hint="cs"/>
          <w:b/>
          <w:sz w:val="22"/>
          <w:szCs w:val="22"/>
          <w:rtl/>
          <w:lang w:bidi="ar-JO"/>
        </w:rPr>
        <w:t>كما يتم في كثير من الأحيان تجاهل مسألة مشاركة الشباب في إعداد البرامج، حتى في البرامج التي تستهدف الشباب. وفي حالات الطوارئ في مختلف أرجاء العالم، يكون الشباب فاعلين ر</w:t>
      </w:r>
      <w:r w:rsidR="00506365" w:rsidRPr="00D720BC">
        <w:rPr>
          <w:rFonts w:ascii="Arial" w:hAnsi="Arial" w:cs="Arial" w:hint="cs"/>
          <w:b/>
          <w:sz w:val="22"/>
          <w:szCs w:val="22"/>
          <w:rtl/>
          <w:lang w:bidi="ar-JO"/>
        </w:rPr>
        <w:t>ئيسيين في الاستجابة والتعافي، سواء من خلال النشاطات المحلية أو المدفوعة ذاتيا، أو بمساعدة من جهات خارجية. وفي أوقات الأزمات، يمكن أن يكون شباب المجتمع هم المورد الأكثر توفرا له. وفي مجال التعليم لا يمكن اعتبار الشباب على أنهم مستفيدون أو متلقون فقط - بل يجب أن يتم إشراكهم للمساعدة في عمليات التقييم، ووضع إستراتيجية الاستجابة، و</w:t>
      </w:r>
      <w:r w:rsidR="004F606B">
        <w:rPr>
          <w:rFonts w:ascii="Arial" w:hAnsi="Arial" w:cs="Arial" w:hint="cs"/>
          <w:b/>
          <w:sz w:val="22"/>
          <w:szCs w:val="22"/>
          <w:rtl/>
          <w:lang w:bidi="ar-JO"/>
        </w:rPr>
        <w:t>تصميم البرنامج، والمتابعة والتقي</w:t>
      </w:r>
      <w:r w:rsidR="00506365" w:rsidRPr="00D720BC">
        <w:rPr>
          <w:rFonts w:ascii="Arial" w:hAnsi="Arial" w:cs="Arial" w:hint="cs"/>
          <w:b/>
          <w:sz w:val="22"/>
          <w:szCs w:val="22"/>
          <w:rtl/>
          <w:lang w:bidi="ar-JO"/>
        </w:rPr>
        <w:t>يم، وتولي المسؤولية كميسرين في المجتمع، كما يمكن إشراكهم كمعلمين أو عاملين في مجال التعليم. تتطلب الاستفادة من الشباب الصغار بناء الأنظمة التعليمية الجيدة التي تتضمن التوجهات النظامية وغير النظامية على حد سواء. إضافة إلى ذلك، يجب أن تكون أنظمة التعليم الجيدة مرنة، وتشاركية، وتعتمد على الوضع، كما أنها يجب أن تكون منصفة لكلا الأولاد والبنات، وأن تكون مرتبطة بالسن ومحددة بحسب</w:t>
      </w:r>
      <w:r w:rsidR="002A0F81">
        <w:rPr>
          <w:rFonts w:ascii="Arial" w:hAnsi="Arial" w:cs="Arial" w:hint="cs"/>
          <w:b/>
          <w:sz w:val="22"/>
          <w:szCs w:val="22"/>
          <w:rtl/>
          <w:lang w:bidi="ar-JO"/>
        </w:rPr>
        <w:t>ه</w:t>
      </w:r>
      <w:r w:rsidR="00506365" w:rsidRPr="00D720BC">
        <w:rPr>
          <w:rFonts w:ascii="Arial" w:hAnsi="Arial" w:cs="Arial" w:hint="cs"/>
          <w:b/>
          <w:sz w:val="22"/>
          <w:szCs w:val="22"/>
          <w:rtl/>
          <w:lang w:bidi="ar-JO"/>
        </w:rPr>
        <w:t xml:space="preserve"> ، ومرتبطة بفرص التوظيف الواقعية، ومرتبطة بمبادرات بناء السلام وغيرها.</w:t>
      </w:r>
    </w:p>
    <w:p w14:paraId="4AF44E9B" w14:textId="77777777" w:rsidR="00591212" w:rsidRPr="00D720BC" w:rsidRDefault="00591212" w:rsidP="00D720BC">
      <w:pPr>
        <w:bidi/>
        <w:jc w:val="both"/>
        <w:rPr>
          <w:rFonts w:ascii="Arial" w:hAnsi="Arial"/>
          <w:b/>
          <w:sz w:val="22"/>
          <w:szCs w:val="22"/>
          <w:rtl/>
        </w:rPr>
      </w:pPr>
    </w:p>
    <w:p w14:paraId="19785A57" w14:textId="77777777" w:rsidR="00790C42" w:rsidRPr="00D720BC" w:rsidRDefault="00790C42" w:rsidP="00D720BC">
      <w:pPr>
        <w:bidi/>
        <w:jc w:val="both"/>
        <w:rPr>
          <w:rFonts w:ascii="Arial" w:hAnsi="Arial"/>
          <w:b/>
          <w:sz w:val="22"/>
          <w:szCs w:val="22"/>
          <w:rtl/>
        </w:rPr>
      </w:pPr>
    </w:p>
    <w:p w14:paraId="392E80C4" w14:textId="77777777" w:rsidR="00790C42" w:rsidRPr="00D720BC" w:rsidRDefault="00790C42" w:rsidP="00D720BC">
      <w:pPr>
        <w:bidi/>
        <w:jc w:val="both"/>
        <w:rPr>
          <w:rFonts w:ascii="Arial" w:hAnsi="Arial"/>
          <w:b/>
          <w:sz w:val="22"/>
          <w:szCs w:val="22"/>
        </w:rPr>
      </w:pPr>
    </w:p>
    <w:p w14:paraId="480EABC8" w14:textId="77777777" w:rsidR="007F1456" w:rsidRPr="00D720BC" w:rsidRDefault="007F1456" w:rsidP="004F606B">
      <w:pPr>
        <w:bidi/>
        <w:jc w:val="both"/>
        <w:rPr>
          <w:rFonts w:ascii="Arial" w:hAnsi="Arial" w:cs="Arial"/>
          <w:bCs/>
          <w:sz w:val="22"/>
          <w:szCs w:val="22"/>
          <w:u w:val="single"/>
          <w:rtl/>
          <w:lang w:bidi="ar-JO"/>
        </w:rPr>
      </w:pPr>
      <w:r w:rsidRPr="00D720BC">
        <w:rPr>
          <w:rFonts w:ascii="Arial" w:hAnsi="Arial" w:cs="Arial" w:hint="cs"/>
          <w:bCs/>
          <w:sz w:val="22"/>
          <w:szCs w:val="22"/>
          <w:u w:val="single"/>
          <w:rtl/>
          <w:lang w:bidi="ar-JO"/>
        </w:rPr>
        <w:t xml:space="preserve">التصدي لموضوع الشباب في الحد الأدنى </w:t>
      </w:r>
      <w:r w:rsidR="004F606B">
        <w:rPr>
          <w:rFonts w:ascii="Arial" w:hAnsi="Arial" w:cs="Arial" w:hint="cs"/>
          <w:bCs/>
          <w:sz w:val="22"/>
          <w:szCs w:val="22"/>
          <w:u w:val="single"/>
          <w:rtl/>
          <w:lang w:bidi="ar-JO"/>
        </w:rPr>
        <w:t>ل</w:t>
      </w:r>
      <w:r w:rsidRPr="00D720BC">
        <w:rPr>
          <w:rFonts w:ascii="Arial" w:hAnsi="Arial" w:cs="Arial" w:hint="cs"/>
          <w:bCs/>
          <w:sz w:val="22"/>
          <w:szCs w:val="22"/>
          <w:u w:val="single"/>
          <w:rtl/>
          <w:lang w:bidi="ar-JO"/>
        </w:rPr>
        <w:t xml:space="preserve">معايير الشبكة العالمية </w:t>
      </w:r>
      <w:r w:rsidR="004F606B">
        <w:rPr>
          <w:rFonts w:ascii="Arial" w:hAnsi="Arial" w:cs="Arial" w:hint="cs"/>
          <w:bCs/>
          <w:sz w:val="22"/>
          <w:szCs w:val="22"/>
          <w:u w:val="single"/>
          <w:rtl/>
          <w:lang w:bidi="ar-JO"/>
        </w:rPr>
        <w:t>ل</w:t>
      </w:r>
      <w:r w:rsidRPr="00D720BC">
        <w:rPr>
          <w:rFonts w:ascii="Arial" w:hAnsi="Arial" w:cs="Arial" w:hint="cs"/>
          <w:bCs/>
          <w:sz w:val="22"/>
          <w:szCs w:val="22"/>
          <w:u w:val="single"/>
          <w:rtl/>
          <w:lang w:bidi="ar-JO"/>
        </w:rPr>
        <w:t>لتعليم في حالات الطوارئ</w:t>
      </w:r>
    </w:p>
    <w:p w14:paraId="75E0E38E" w14:textId="77777777" w:rsidR="00D46FCD" w:rsidRPr="00D720BC" w:rsidRDefault="00D46FCD" w:rsidP="00D720BC">
      <w:pPr>
        <w:bidi/>
        <w:jc w:val="both"/>
        <w:rPr>
          <w:rFonts w:ascii="Arial" w:hAnsi="Arial"/>
          <w:b/>
          <w:sz w:val="22"/>
          <w:szCs w:val="22"/>
          <w:lang w:bidi="ar-JO"/>
        </w:rPr>
      </w:pPr>
    </w:p>
    <w:p w14:paraId="4F86BEDD" w14:textId="77777777" w:rsidR="00D46FCD" w:rsidRPr="00D720BC" w:rsidRDefault="00D46FCD" w:rsidP="00D720BC">
      <w:pPr>
        <w:jc w:val="both"/>
        <w:rPr>
          <w:rFonts w:ascii="Arial" w:hAnsi="Arial"/>
          <w:sz w:val="22"/>
          <w:szCs w:val="22"/>
          <w:lang w:val="de-DE"/>
        </w:rPr>
      </w:pPr>
    </w:p>
    <w:p w14:paraId="7F54FCEC" w14:textId="77777777" w:rsidR="00D46FCD" w:rsidRPr="00D720BC" w:rsidRDefault="00D46FCD" w:rsidP="00D720BC">
      <w:pPr>
        <w:jc w:val="both"/>
        <w:rPr>
          <w:rFonts w:ascii="Arial" w:hAnsi="Arial"/>
          <w:sz w:val="22"/>
          <w:szCs w:val="22"/>
        </w:rPr>
      </w:pPr>
    </w:p>
    <w:p w14:paraId="7A77E55D" w14:textId="77777777" w:rsidR="00D46FCD" w:rsidRPr="00D720BC" w:rsidRDefault="007F1456" w:rsidP="00C641E4">
      <w:pPr>
        <w:bidi/>
        <w:jc w:val="both"/>
        <w:rPr>
          <w:rFonts w:ascii="Arial" w:hAnsi="Arial"/>
          <w:sz w:val="22"/>
          <w:szCs w:val="22"/>
          <w:rtl/>
        </w:rPr>
      </w:pPr>
      <w:r w:rsidRPr="00D720BC">
        <w:rPr>
          <w:rFonts w:ascii="Arial" w:hAnsi="Arial" w:hint="cs"/>
          <w:sz w:val="22"/>
          <w:szCs w:val="22"/>
          <w:rtl/>
        </w:rPr>
        <w:t xml:space="preserve">يشير </w:t>
      </w:r>
      <w:r w:rsidR="004F606B">
        <w:rPr>
          <w:rFonts w:ascii="Arial" w:hAnsi="Arial" w:hint="cs"/>
          <w:sz w:val="22"/>
          <w:szCs w:val="22"/>
          <w:rtl/>
        </w:rPr>
        <w:t>دليل</w:t>
      </w:r>
      <w:r w:rsidRPr="00D720BC">
        <w:rPr>
          <w:rFonts w:ascii="Arial" w:hAnsi="Arial" w:hint="cs"/>
          <w:sz w:val="22"/>
          <w:szCs w:val="22"/>
          <w:rtl/>
        </w:rPr>
        <w:t xml:space="preserve"> الحد الأدنى </w:t>
      </w:r>
      <w:r w:rsidR="004F606B">
        <w:rPr>
          <w:rFonts w:ascii="Arial" w:hAnsi="Arial" w:hint="cs"/>
          <w:sz w:val="22"/>
          <w:szCs w:val="22"/>
          <w:rtl/>
        </w:rPr>
        <w:t>ل</w:t>
      </w:r>
      <w:r w:rsidRPr="00D720BC">
        <w:rPr>
          <w:rFonts w:ascii="Arial" w:hAnsi="Arial" w:hint="cs"/>
          <w:sz w:val="22"/>
          <w:szCs w:val="22"/>
          <w:rtl/>
        </w:rPr>
        <w:t xml:space="preserve">معايير </w:t>
      </w:r>
      <w:r w:rsidR="004F606B">
        <w:rPr>
          <w:rFonts w:ascii="Arial" w:hAnsi="Arial" w:hint="cs"/>
          <w:sz w:val="22"/>
          <w:szCs w:val="22"/>
          <w:rtl/>
        </w:rPr>
        <w:t>الآيني</w:t>
      </w:r>
      <w:r w:rsidRPr="00D720BC">
        <w:rPr>
          <w:rFonts w:ascii="Arial" w:hAnsi="Arial" w:hint="cs"/>
          <w:sz w:val="22"/>
          <w:szCs w:val="22"/>
          <w:rtl/>
        </w:rPr>
        <w:t xml:space="preserve"> في العديد من </w:t>
      </w:r>
      <w:r w:rsidR="00C641E4">
        <w:rPr>
          <w:rFonts w:ascii="Arial" w:hAnsi="Arial" w:hint="cs"/>
          <w:sz w:val="22"/>
          <w:szCs w:val="22"/>
          <w:rtl/>
        </w:rPr>
        <w:t>إجزائه</w:t>
      </w:r>
      <w:r w:rsidRPr="00D720BC">
        <w:rPr>
          <w:rFonts w:ascii="Arial" w:hAnsi="Arial" w:hint="cs"/>
          <w:sz w:val="22"/>
          <w:szCs w:val="22"/>
          <w:rtl/>
        </w:rPr>
        <w:t xml:space="preserve"> إلى الشباب واحتياجاتهم الخاصة، وتحديدا في المجالات التي </w:t>
      </w:r>
      <w:r w:rsidR="00C641E4">
        <w:rPr>
          <w:rFonts w:ascii="Arial" w:hAnsi="Arial" w:hint="cs"/>
          <w:sz w:val="22"/>
          <w:szCs w:val="22"/>
          <w:rtl/>
        </w:rPr>
        <w:t>يهمش</w:t>
      </w:r>
      <w:r w:rsidRPr="00D720BC">
        <w:rPr>
          <w:rFonts w:ascii="Arial" w:hAnsi="Arial" w:hint="cs"/>
          <w:sz w:val="22"/>
          <w:szCs w:val="22"/>
          <w:rtl/>
        </w:rPr>
        <w:t xml:space="preserve"> فيها</w:t>
      </w:r>
      <w:r w:rsidR="00C641E4">
        <w:rPr>
          <w:rFonts w:ascii="Arial" w:hAnsi="Arial" w:hint="cs"/>
          <w:sz w:val="22"/>
          <w:szCs w:val="22"/>
          <w:rtl/>
        </w:rPr>
        <w:t xml:space="preserve"> </w:t>
      </w:r>
      <w:r w:rsidR="00C641E4" w:rsidRPr="00D720BC">
        <w:rPr>
          <w:rFonts w:ascii="Arial" w:hAnsi="Arial" w:hint="cs"/>
          <w:sz w:val="22"/>
          <w:szCs w:val="22"/>
          <w:rtl/>
        </w:rPr>
        <w:t>الشباب</w:t>
      </w:r>
      <w:r w:rsidRPr="00D720BC">
        <w:rPr>
          <w:rFonts w:ascii="Arial" w:hAnsi="Arial" w:hint="cs"/>
          <w:sz w:val="22"/>
          <w:szCs w:val="22"/>
          <w:rtl/>
        </w:rPr>
        <w:t xml:space="preserve"> تقليديا. وفيما يلي بعض الأمثلة:</w:t>
      </w:r>
    </w:p>
    <w:p w14:paraId="64A715E5" w14:textId="77777777" w:rsidR="007F1456" w:rsidRPr="00D720BC" w:rsidRDefault="007F1456" w:rsidP="00D720BC">
      <w:pPr>
        <w:bidi/>
        <w:jc w:val="both"/>
        <w:rPr>
          <w:rFonts w:ascii="Arial" w:hAnsi="Arial"/>
          <w:sz w:val="22"/>
          <w:szCs w:val="22"/>
          <w:rtl/>
        </w:rPr>
      </w:pPr>
    </w:p>
    <w:p w14:paraId="78FFEECB" w14:textId="77777777" w:rsidR="007F1456" w:rsidRPr="00D720BC" w:rsidRDefault="007F1456" w:rsidP="00D720BC">
      <w:pPr>
        <w:bidi/>
        <w:jc w:val="both"/>
        <w:rPr>
          <w:rFonts w:ascii="Arial" w:hAnsi="Arial"/>
          <w:sz w:val="22"/>
          <w:szCs w:val="22"/>
          <w:rtl/>
        </w:rPr>
      </w:pPr>
    </w:p>
    <w:p w14:paraId="0D78E493" w14:textId="77777777" w:rsidR="007F1456" w:rsidRPr="00D720BC" w:rsidRDefault="000D74A1" w:rsidP="00276113">
      <w:pPr>
        <w:numPr>
          <w:ilvl w:val="0"/>
          <w:numId w:val="45"/>
        </w:numPr>
        <w:autoSpaceDE w:val="0"/>
        <w:autoSpaceDN w:val="0"/>
        <w:bidi/>
        <w:adjustRightInd w:val="0"/>
        <w:jc w:val="both"/>
        <w:rPr>
          <w:rFonts w:ascii="Arial" w:hAnsi="Arial" w:cs="Bliss-Light"/>
          <w:sz w:val="22"/>
          <w:szCs w:val="22"/>
          <w:lang w:eastAsia="en-IE"/>
        </w:rPr>
      </w:pPr>
      <w:r w:rsidRPr="004C29D5">
        <w:rPr>
          <w:rFonts w:ascii="Arial" w:hAnsi="Arial" w:hint="cs"/>
          <w:b/>
          <w:bCs/>
          <w:sz w:val="22"/>
          <w:szCs w:val="22"/>
          <w:rtl/>
          <w:lang w:eastAsia="en-IE"/>
        </w:rPr>
        <w:t xml:space="preserve">المعايير </w:t>
      </w:r>
      <w:r>
        <w:rPr>
          <w:rFonts w:ascii="Arial" w:hAnsi="Arial" w:hint="cs"/>
          <w:b/>
          <w:bCs/>
          <w:sz w:val="22"/>
          <w:szCs w:val="22"/>
          <w:rtl/>
          <w:lang w:eastAsia="en-IE"/>
        </w:rPr>
        <w:t>الأساسية</w:t>
      </w:r>
      <w:r w:rsidR="007F1456" w:rsidRPr="00D720BC">
        <w:rPr>
          <w:rFonts w:ascii="Arial" w:hAnsi="Arial" w:cs="Bliss-Light" w:hint="cs"/>
          <w:sz w:val="22"/>
          <w:szCs w:val="22"/>
          <w:rtl/>
          <w:lang w:eastAsia="en-IE"/>
        </w:rPr>
        <w:t xml:space="preserve">: </w:t>
      </w:r>
      <w:r w:rsidR="00C42655" w:rsidRPr="00D720BC">
        <w:rPr>
          <w:rFonts w:ascii="Arial" w:hAnsi="Arial" w:cs="Arial" w:hint="cs"/>
          <w:sz w:val="22"/>
          <w:szCs w:val="22"/>
          <w:rtl/>
          <w:lang w:eastAsia="en-IE" w:bidi="ar-JO"/>
        </w:rPr>
        <w:t xml:space="preserve">تشجيع التعامل مع الشباب على أنهم مجموعة </w:t>
      </w:r>
      <w:r w:rsidR="0075552A" w:rsidRPr="00D720BC">
        <w:rPr>
          <w:rFonts w:ascii="Arial" w:hAnsi="Arial" w:cs="Arial" w:hint="cs"/>
          <w:sz w:val="22"/>
          <w:szCs w:val="22"/>
          <w:rtl/>
          <w:lang w:eastAsia="en-IE" w:bidi="ar-JO"/>
        </w:rPr>
        <w:t>متمايزة، وأن لأفرادها احتياجات متغيرة، وإشراكهم في النقاشات حول البرامج التعليمية على المستوى المحلي وبشكل دائم. يجب على الشباب أن يشاركوا في عملية التخطيط والمتابعة وتقويم البرامج</w:t>
      </w:r>
      <w:r w:rsidR="00C641E4">
        <w:rPr>
          <w:rFonts w:ascii="Arial" w:hAnsi="Arial" w:cs="Arial" w:hint="cs"/>
          <w:sz w:val="22"/>
          <w:szCs w:val="22"/>
          <w:rtl/>
          <w:lang w:eastAsia="en-IE" w:bidi="ar-JO"/>
        </w:rPr>
        <w:t>.</w:t>
      </w:r>
      <w:r w:rsidR="00C42655" w:rsidRPr="00D720BC">
        <w:rPr>
          <w:rFonts w:ascii="Arial" w:hAnsi="Arial" w:cs="Arial" w:hint="cs"/>
          <w:sz w:val="22"/>
          <w:szCs w:val="22"/>
          <w:rtl/>
          <w:lang w:eastAsia="en-IE" w:bidi="ar-JO"/>
        </w:rPr>
        <w:t xml:space="preserve"> </w:t>
      </w:r>
    </w:p>
    <w:p w14:paraId="71E59492" w14:textId="77777777" w:rsidR="007F1456" w:rsidRPr="00D720BC" w:rsidRDefault="000D74A1" w:rsidP="00C641E4">
      <w:pPr>
        <w:numPr>
          <w:ilvl w:val="0"/>
          <w:numId w:val="45"/>
        </w:numPr>
        <w:autoSpaceDE w:val="0"/>
        <w:autoSpaceDN w:val="0"/>
        <w:bidi/>
        <w:adjustRightInd w:val="0"/>
        <w:jc w:val="both"/>
        <w:rPr>
          <w:rFonts w:ascii="Arial" w:hAnsi="Arial"/>
          <w:sz w:val="22"/>
          <w:szCs w:val="22"/>
        </w:rPr>
      </w:pPr>
      <w:r w:rsidRPr="00BE2778">
        <w:rPr>
          <w:rFonts w:hint="cs"/>
          <w:b/>
          <w:color w:val="000000" w:themeColor="text1"/>
          <w:rtl/>
          <w:lang w:bidi="ar-JO"/>
        </w:rPr>
        <w:t>امكانية الحصول على التعليم و البئية التعليمية</w:t>
      </w:r>
      <w:r w:rsidR="007F1456" w:rsidRPr="00D720BC">
        <w:rPr>
          <w:rFonts w:ascii="Arial" w:hAnsi="Arial" w:cs="Bliss-Light" w:hint="cs"/>
          <w:sz w:val="22"/>
          <w:szCs w:val="22"/>
          <w:rtl/>
          <w:lang w:eastAsia="en-IE"/>
        </w:rPr>
        <w:t xml:space="preserve">. </w:t>
      </w:r>
      <w:r w:rsidR="0075552A" w:rsidRPr="00D720BC">
        <w:rPr>
          <w:rFonts w:ascii="Arial" w:hAnsi="Arial" w:hint="cs"/>
          <w:sz w:val="22"/>
          <w:szCs w:val="22"/>
          <w:rtl/>
        </w:rPr>
        <w:t>يسلط هذا المجال الضوء على الحاجة للوصول إلى الفقراء والمجموعات المهمشة اجتماعيا والغالبية المحبطة من الشباب، خاصة الشباب المنتمين إلى المجموعات الهشة</w:t>
      </w:r>
      <w:r w:rsidR="00C641E4">
        <w:rPr>
          <w:rFonts w:ascii="Arial" w:hAnsi="Arial" w:hint="cs"/>
          <w:sz w:val="22"/>
          <w:szCs w:val="22"/>
          <w:rtl/>
        </w:rPr>
        <w:t>،</w:t>
      </w:r>
      <w:r w:rsidR="0075552A" w:rsidRPr="00D720BC">
        <w:rPr>
          <w:rFonts w:ascii="Arial" w:hAnsi="Arial" w:hint="cs"/>
          <w:sz w:val="22"/>
          <w:szCs w:val="22"/>
          <w:rtl/>
        </w:rPr>
        <w:t xml:space="preserve"> من خلال برامج مبتكرة وريادية. ويجب أن يتم توفير عدد من فرص التعليم التي تتيح للشباب إعادة الالتحاق </w:t>
      </w:r>
      <w:r w:rsidR="00C641E4">
        <w:rPr>
          <w:rFonts w:ascii="Arial" w:hAnsi="Arial" w:hint="cs"/>
          <w:sz w:val="22"/>
          <w:szCs w:val="22"/>
          <w:rtl/>
        </w:rPr>
        <w:t>ب</w:t>
      </w:r>
      <w:r w:rsidR="0075552A" w:rsidRPr="00D720BC">
        <w:rPr>
          <w:rFonts w:ascii="Arial" w:hAnsi="Arial" w:hint="cs"/>
          <w:sz w:val="22"/>
          <w:szCs w:val="22"/>
          <w:rtl/>
        </w:rPr>
        <w:t>التعليم النظامي و/ أو المشاركة في نشاطات التعليم غير النظامي. ي</w:t>
      </w:r>
      <w:r w:rsidR="00C641E4">
        <w:rPr>
          <w:rFonts w:ascii="Arial" w:hAnsi="Arial" w:hint="cs"/>
          <w:sz w:val="22"/>
          <w:szCs w:val="22"/>
          <w:rtl/>
        </w:rPr>
        <w:t>ُ</w:t>
      </w:r>
      <w:r w:rsidR="0075552A" w:rsidRPr="00D720BC">
        <w:rPr>
          <w:rFonts w:ascii="Arial" w:hAnsi="Arial" w:hint="cs"/>
          <w:sz w:val="22"/>
          <w:szCs w:val="22"/>
          <w:rtl/>
        </w:rPr>
        <w:t>ذ</w:t>
      </w:r>
      <w:r w:rsidR="00C641E4">
        <w:rPr>
          <w:rFonts w:ascii="Arial" w:hAnsi="Arial" w:hint="cs"/>
          <w:sz w:val="22"/>
          <w:szCs w:val="22"/>
          <w:rtl/>
        </w:rPr>
        <w:t>ّ</w:t>
      </w:r>
      <w:r w:rsidR="0075552A" w:rsidRPr="00D720BC">
        <w:rPr>
          <w:rFonts w:ascii="Arial" w:hAnsi="Arial" w:hint="cs"/>
          <w:sz w:val="22"/>
          <w:szCs w:val="22"/>
          <w:rtl/>
        </w:rPr>
        <w:t xml:space="preserve">كر هذا المجال أيضا العاملين </w:t>
      </w:r>
      <w:r w:rsidR="0075552A" w:rsidRPr="00D720BC">
        <w:rPr>
          <w:rFonts w:ascii="Arial" w:hAnsi="Arial" w:hint="cs"/>
          <w:sz w:val="22"/>
          <w:szCs w:val="22"/>
          <w:rtl/>
        </w:rPr>
        <w:lastRenderedPageBreak/>
        <w:t>على إعداد البرامج بأهمية التشاور مع الشباب، وإشراك الفتيات والشابات في المواضيع المتعلقة ب</w:t>
      </w:r>
      <w:r w:rsidR="00C641E4">
        <w:rPr>
          <w:rFonts w:ascii="Arial" w:hAnsi="Arial" w:hint="cs"/>
          <w:sz w:val="22"/>
          <w:szCs w:val="22"/>
          <w:rtl/>
        </w:rPr>
        <w:t>تحديد جدول الحصص وتصميم المنهاج</w:t>
      </w:r>
      <w:r w:rsidR="0075552A" w:rsidRPr="00D720BC">
        <w:rPr>
          <w:rFonts w:ascii="Arial" w:hAnsi="Arial" w:hint="cs"/>
          <w:sz w:val="22"/>
          <w:szCs w:val="22"/>
          <w:rtl/>
        </w:rPr>
        <w:t xml:space="preserve"> </w:t>
      </w:r>
      <w:r w:rsidR="00C641E4">
        <w:rPr>
          <w:rFonts w:ascii="Arial" w:hAnsi="Arial" w:hint="cs"/>
          <w:sz w:val="22"/>
          <w:szCs w:val="22"/>
          <w:rtl/>
        </w:rPr>
        <w:t>والتقليل</w:t>
      </w:r>
      <w:r w:rsidR="0075552A" w:rsidRPr="00D720BC">
        <w:rPr>
          <w:rFonts w:ascii="Arial" w:hAnsi="Arial" w:hint="cs"/>
          <w:sz w:val="22"/>
          <w:szCs w:val="22"/>
          <w:rtl/>
        </w:rPr>
        <w:t xml:space="preserve"> من المخاطر المحيطة بالمرافق التعليمية والمحيطة بها.</w:t>
      </w:r>
    </w:p>
    <w:p w14:paraId="0F819596" w14:textId="0129CDF3" w:rsidR="00C641E4" w:rsidRPr="00A57DBA" w:rsidRDefault="00804416" w:rsidP="00A57DBA">
      <w:pPr>
        <w:numPr>
          <w:ilvl w:val="0"/>
          <w:numId w:val="45"/>
        </w:numPr>
        <w:autoSpaceDE w:val="0"/>
        <w:autoSpaceDN w:val="0"/>
        <w:bidi/>
        <w:adjustRightInd w:val="0"/>
        <w:jc w:val="both"/>
        <w:rPr>
          <w:rFonts w:ascii="Arial" w:hAnsi="Arial" w:cs="Bliss-Light"/>
          <w:sz w:val="22"/>
          <w:szCs w:val="22"/>
          <w:lang w:eastAsia="en-IE"/>
        </w:rPr>
      </w:pPr>
      <w:r>
        <w:rPr>
          <w:rFonts w:ascii="Arial" w:hAnsi="Arial" w:cs="Arial" w:hint="cs"/>
          <w:b/>
          <w:bCs/>
          <w:rtl/>
          <w:lang w:bidi="ar-JO"/>
        </w:rPr>
        <w:t>التدريس</w:t>
      </w:r>
      <w:r w:rsidRPr="00C75C65">
        <w:rPr>
          <w:rFonts w:ascii="Arial" w:hAnsi="Arial" w:cs="Arial" w:hint="cs"/>
          <w:b/>
          <w:bCs/>
          <w:rtl/>
          <w:lang w:bidi="ar-JO"/>
        </w:rPr>
        <w:t xml:space="preserve"> والتعلم</w:t>
      </w:r>
      <w:r w:rsidR="007F1456" w:rsidRPr="00D720BC">
        <w:rPr>
          <w:rFonts w:ascii="Arial" w:hAnsi="Arial" w:cs="Bliss-Light" w:hint="cs"/>
          <w:b/>
          <w:bCs/>
          <w:sz w:val="22"/>
          <w:szCs w:val="22"/>
          <w:rtl/>
          <w:lang w:eastAsia="en-IE"/>
        </w:rPr>
        <w:t>.</w:t>
      </w:r>
      <w:r w:rsidR="00EE3D8C" w:rsidRPr="00D720BC">
        <w:rPr>
          <w:rFonts w:ascii="Arial" w:hAnsi="Arial" w:cs="Arial" w:hint="cs"/>
          <w:b/>
          <w:bCs/>
          <w:sz w:val="22"/>
          <w:szCs w:val="22"/>
          <w:rtl/>
          <w:lang w:eastAsia="en-IE" w:bidi="ar-JO"/>
        </w:rPr>
        <w:t xml:space="preserve"> </w:t>
      </w:r>
      <w:r w:rsidR="0007250E">
        <w:rPr>
          <w:rFonts w:ascii="Arial" w:hAnsi="Arial" w:cs="Arial" w:hint="cs"/>
          <w:sz w:val="22"/>
          <w:szCs w:val="22"/>
          <w:rtl/>
          <w:lang w:eastAsia="en-IE" w:bidi="ar-JO"/>
        </w:rPr>
        <w:t xml:space="preserve">يدعم هذا المجال </w:t>
      </w:r>
      <w:r w:rsidR="00EE3D8C" w:rsidRPr="00D720BC">
        <w:rPr>
          <w:rFonts w:ascii="Arial" w:hAnsi="Arial" w:cs="Arial" w:hint="cs"/>
          <w:sz w:val="22"/>
          <w:szCs w:val="22"/>
          <w:rtl/>
          <w:lang w:eastAsia="en-IE" w:bidi="ar-JO"/>
        </w:rPr>
        <w:t xml:space="preserve">توفير القدرة المتساوية </w:t>
      </w:r>
      <w:r w:rsidR="00C641E4" w:rsidRPr="00D720BC">
        <w:rPr>
          <w:rFonts w:ascii="Arial" w:hAnsi="Arial" w:cs="Arial" w:hint="cs"/>
          <w:sz w:val="22"/>
          <w:szCs w:val="22"/>
          <w:rtl/>
          <w:lang w:eastAsia="en-IE" w:bidi="ar-JO"/>
        </w:rPr>
        <w:t xml:space="preserve">للشباب خارج المدرسة </w:t>
      </w:r>
      <w:r w:rsidR="00C641E4">
        <w:rPr>
          <w:rFonts w:ascii="Arial" w:hAnsi="Arial" w:cs="Arial" w:hint="cs"/>
          <w:sz w:val="22"/>
          <w:szCs w:val="22"/>
          <w:rtl/>
          <w:lang w:eastAsia="en-IE" w:bidi="ar-JO"/>
        </w:rPr>
        <w:t>لتعلم</w:t>
      </w:r>
      <w:r w:rsidR="00EE3D8C" w:rsidRPr="00D720BC">
        <w:rPr>
          <w:rFonts w:ascii="Arial" w:hAnsi="Arial" w:cs="Arial" w:hint="cs"/>
          <w:sz w:val="22"/>
          <w:szCs w:val="22"/>
          <w:rtl/>
          <w:lang w:eastAsia="en-IE" w:bidi="ar-JO"/>
        </w:rPr>
        <w:t xml:space="preserve"> المهارات الحياتية ، وتعزيز البرامج ذات العلاقة، والبرامج المدفوعة </w:t>
      </w:r>
      <w:r w:rsidR="00C641E4">
        <w:rPr>
          <w:rFonts w:ascii="Arial" w:hAnsi="Arial" w:cs="Arial" w:hint="cs"/>
          <w:sz w:val="22"/>
          <w:szCs w:val="22"/>
          <w:rtl/>
          <w:lang w:eastAsia="en-IE" w:bidi="ar-JO"/>
        </w:rPr>
        <w:t>بحسب الطلب</w:t>
      </w:r>
      <w:r w:rsidR="00EE3D8C" w:rsidRPr="00D720BC">
        <w:rPr>
          <w:rFonts w:ascii="Arial" w:hAnsi="Arial" w:cs="Arial" w:hint="cs"/>
          <w:sz w:val="22"/>
          <w:szCs w:val="22"/>
          <w:rtl/>
          <w:lang w:eastAsia="en-IE" w:bidi="ar-JO"/>
        </w:rPr>
        <w:t xml:space="preserve"> ودورها في</w:t>
      </w:r>
      <w:r w:rsidR="00C641E4">
        <w:rPr>
          <w:rFonts w:ascii="Arial" w:hAnsi="Arial" w:cs="Arial" w:hint="cs"/>
          <w:sz w:val="22"/>
          <w:szCs w:val="22"/>
          <w:rtl/>
          <w:lang w:eastAsia="en-IE" w:bidi="ar-JO"/>
        </w:rPr>
        <w:t xml:space="preserve"> إيجاد سبل</w:t>
      </w:r>
      <w:r w:rsidR="00EE3D8C" w:rsidRPr="00D720BC">
        <w:rPr>
          <w:rFonts w:ascii="Arial" w:hAnsi="Arial" w:cs="Arial" w:hint="cs"/>
          <w:sz w:val="22"/>
          <w:szCs w:val="22"/>
          <w:rtl/>
          <w:lang w:eastAsia="en-IE" w:bidi="ar-JO"/>
        </w:rPr>
        <w:t xml:space="preserve"> كسب الرزق والتنمية المهنية، بحيث </w:t>
      </w:r>
      <w:r w:rsidR="00A57DBA">
        <w:rPr>
          <w:rFonts w:ascii="Arial" w:hAnsi="Arial" w:cs="Arial" w:hint="cs"/>
          <w:sz w:val="22"/>
          <w:szCs w:val="22"/>
          <w:rtl/>
          <w:lang w:eastAsia="en-IE" w:bidi="ar-JO"/>
        </w:rPr>
        <w:t>تصمم هذه البرامج لإشراك الشباب وأصحاب العمل</w:t>
      </w:r>
      <w:r w:rsidR="00EE3D8C" w:rsidRPr="00D720BC">
        <w:rPr>
          <w:rFonts w:ascii="Arial" w:hAnsi="Arial" w:cs="Arial" w:hint="cs"/>
          <w:sz w:val="22"/>
          <w:szCs w:val="22"/>
          <w:rtl/>
          <w:lang w:eastAsia="en-IE" w:bidi="ar-JO"/>
        </w:rPr>
        <w:t xml:space="preserve"> ومراكز التدريب والجهات الأخرى المقدمة للخدمات مثل </w:t>
      </w:r>
      <w:r w:rsidR="00A57DBA">
        <w:rPr>
          <w:rFonts w:ascii="Arial" w:hAnsi="Arial" w:cs="Arial" w:hint="cs"/>
          <w:sz w:val="22"/>
          <w:szCs w:val="22"/>
          <w:rtl/>
          <w:lang w:eastAsia="en-IE" w:bidi="ar-JO"/>
        </w:rPr>
        <w:t>مؤسسات القروض الصغيرة.</w:t>
      </w:r>
    </w:p>
    <w:p w14:paraId="7954485F" w14:textId="7E2B6D61" w:rsidR="007F1456" w:rsidRPr="00D720BC" w:rsidRDefault="00804416" w:rsidP="00D720BC">
      <w:pPr>
        <w:numPr>
          <w:ilvl w:val="0"/>
          <w:numId w:val="45"/>
        </w:numPr>
        <w:autoSpaceDE w:val="0"/>
        <w:autoSpaceDN w:val="0"/>
        <w:bidi/>
        <w:adjustRightInd w:val="0"/>
        <w:jc w:val="both"/>
        <w:rPr>
          <w:rFonts w:ascii="Arial" w:hAnsi="Arial" w:cs="Bliss-Light"/>
          <w:sz w:val="22"/>
          <w:szCs w:val="22"/>
          <w:lang w:eastAsia="en-IE"/>
        </w:rPr>
      </w:pPr>
      <w:r>
        <w:rPr>
          <w:rFonts w:ascii="Arial" w:hAnsi="Arial" w:cs="Arial" w:hint="cs"/>
          <w:b/>
          <w:bCs/>
          <w:rtl/>
          <w:lang w:bidi="ar-JO"/>
        </w:rPr>
        <w:t>المعلمون وسائر العاملين في</w:t>
      </w:r>
      <w:r w:rsidRPr="00C75C65">
        <w:rPr>
          <w:rFonts w:ascii="Arial" w:hAnsi="Arial" w:cs="Arial" w:hint="cs"/>
          <w:b/>
          <w:bCs/>
          <w:rtl/>
          <w:lang w:bidi="ar-JO"/>
        </w:rPr>
        <w:t xml:space="preserve"> التعليم</w:t>
      </w:r>
      <w:r w:rsidR="007F1456" w:rsidRPr="00A57DBA">
        <w:rPr>
          <w:rFonts w:ascii="Arial" w:hAnsi="Arial" w:cs="Bliss-Light" w:hint="cs"/>
          <w:b/>
          <w:bCs/>
          <w:sz w:val="22"/>
          <w:szCs w:val="22"/>
          <w:rtl/>
          <w:lang w:eastAsia="en-IE"/>
        </w:rPr>
        <w:t>.</w:t>
      </w:r>
      <w:r w:rsidR="004445F8" w:rsidRPr="00D720BC">
        <w:rPr>
          <w:rFonts w:ascii="Arial" w:hAnsi="Arial" w:cs="Bliss-Light"/>
          <w:sz w:val="22"/>
          <w:szCs w:val="22"/>
          <w:lang w:eastAsia="en-IE"/>
        </w:rPr>
        <w:t xml:space="preserve"> </w:t>
      </w:r>
      <w:r w:rsidR="004445F8" w:rsidRPr="00D720BC">
        <w:rPr>
          <w:rFonts w:ascii="Arial" w:hAnsi="Arial" w:cs="Arial" w:hint="cs"/>
          <w:sz w:val="22"/>
          <w:szCs w:val="22"/>
          <w:rtl/>
          <w:lang w:eastAsia="en-IE" w:bidi="ar-JO"/>
        </w:rPr>
        <w:t>يقر هذا المجال بأن جودة التعليم عامل مهم في جهود اجتذاب صغار السن والإبقاء عليهم. يدعو هذا المجال أيضا إلى إشراك الطلاب في توفير التغذية الراجعة حول أداء المعلمين والسلوك الكلي. ويتم التعبير حيث يلزم عن ضرورة إعطاء الشباب الفرصة للعمل ضمن النشاطات التعليمية وبرامج التدريب</w:t>
      </w:r>
      <w:r w:rsidR="00A57DBA">
        <w:rPr>
          <w:rFonts w:ascii="Arial" w:hAnsi="Arial" w:cs="Bliss-Light" w:hint="cs"/>
          <w:sz w:val="22"/>
          <w:szCs w:val="22"/>
          <w:rtl/>
          <w:lang w:eastAsia="en-IE"/>
        </w:rPr>
        <w:t>.</w:t>
      </w:r>
    </w:p>
    <w:p w14:paraId="31695D26" w14:textId="6310213D" w:rsidR="007F1456" w:rsidRDefault="007F1456" w:rsidP="00A57DBA">
      <w:pPr>
        <w:numPr>
          <w:ilvl w:val="0"/>
          <w:numId w:val="45"/>
        </w:numPr>
        <w:autoSpaceDE w:val="0"/>
        <w:autoSpaceDN w:val="0"/>
        <w:bidi/>
        <w:adjustRightInd w:val="0"/>
        <w:jc w:val="both"/>
        <w:rPr>
          <w:rFonts w:ascii="Arial" w:hAnsi="Arial" w:cs="Arial"/>
          <w:sz w:val="22"/>
          <w:szCs w:val="22"/>
          <w:lang w:eastAsia="en-IE" w:bidi="ar-JO"/>
        </w:rPr>
      </w:pPr>
      <w:bookmarkStart w:id="0" w:name="_GoBack"/>
      <w:bookmarkEnd w:id="0"/>
      <w:r w:rsidRPr="00D720BC">
        <w:rPr>
          <w:rFonts w:ascii="Arial" w:hAnsi="Arial" w:hint="cs"/>
          <w:b/>
          <w:bCs/>
          <w:sz w:val="22"/>
          <w:szCs w:val="22"/>
          <w:rtl/>
          <w:lang w:eastAsia="en-IE"/>
        </w:rPr>
        <w:t>سياسة التعليم</w:t>
      </w:r>
      <w:r w:rsidRPr="00D720BC">
        <w:rPr>
          <w:rFonts w:ascii="Arial" w:hAnsi="Arial" w:cs="Bliss-Light" w:hint="cs"/>
          <w:sz w:val="22"/>
          <w:szCs w:val="22"/>
          <w:rtl/>
          <w:lang w:eastAsia="en-IE"/>
        </w:rPr>
        <w:t xml:space="preserve">. </w:t>
      </w:r>
      <w:r w:rsidR="004445F8" w:rsidRPr="00D720BC">
        <w:rPr>
          <w:rFonts w:ascii="Arial" w:hAnsi="Arial" w:cs="Arial" w:hint="cs"/>
          <w:sz w:val="22"/>
          <w:szCs w:val="22"/>
          <w:rtl/>
          <w:lang w:eastAsia="en-IE" w:bidi="ar-JO"/>
        </w:rPr>
        <w:t xml:space="preserve">يتصدى هذا المجال لاحتياجات الشباب غير الملتحقين بالمدارس من خلال التشجيع على تفصيل البيانات وتطوير سياسات الشباب. إضافة إلى ذلك، يركز هذا المجال على الحاجة للتخطيط لبرامج </w:t>
      </w:r>
      <w:r w:rsidR="00A57DBA">
        <w:rPr>
          <w:rFonts w:ascii="Arial" w:hAnsi="Arial" w:cs="Arial" w:hint="cs"/>
          <w:sz w:val="22"/>
          <w:szCs w:val="22"/>
          <w:rtl/>
          <w:lang w:eastAsia="en-IE" w:bidi="ar-JO"/>
        </w:rPr>
        <w:t>سبل</w:t>
      </w:r>
      <w:r w:rsidR="004445F8" w:rsidRPr="00D720BC">
        <w:rPr>
          <w:rFonts w:ascii="Arial" w:hAnsi="Arial" w:cs="Arial" w:hint="cs"/>
          <w:sz w:val="22"/>
          <w:szCs w:val="22"/>
          <w:rtl/>
          <w:lang w:eastAsia="en-IE" w:bidi="ar-JO"/>
        </w:rPr>
        <w:t xml:space="preserve"> الرزق والبرامج المهنية وتنفيذها، وربطها بذات الوقت بمؤسسات </w:t>
      </w:r>
      <w:r w:rsidR="00A57DBA">
        <w:rPr>
          <w:rFonts w:ascii="Arial" w:hAnsi="Arial" w:cs="Arial" w:hint="cs"/>
          <w:sz w:val="22"/>
          <w:szCs w:val="22"/>
          <w:rtl/>
          <w:lang w:eastAsia="en-IE" w:bidi="ar-JO"/>
        </w:rPr>
        <w:t>القروض الصغيرة</w:t>
      </w:r>
      <w:r w:rsidR="004445F8" w:rsidRPr="00D720BC">
        <w:rPr>
          <w:rFonts w:ascii="Arial" w:hAnsi="Arial" w:cs="Arial" w:hint="cs"/>
          <w:sz w:val="22"/>
          <w:szCs w:val="22"/>
          <w:rtl/>
          <w:lang w:eastAsia="en-IE" w:bidi="ar-JO"/>
        </w:rPr>
        <w:t xml:space="preserve"> ليتمكن </w:t>
      </w:r>
      <w:r w:rsidR="00A57DBA">
        <w:rPr>
          <w:rFonts w:ascii="Arial" w:hAnsi="Arial" w:cs="Arial" w:hint="cs"/>
          <w:sz w:val="22"/>
          <w:szCs w:val="22"/>
          <w:rtl/>
          <w:lang w:eastAsia="en-IE" w:bidi="ar-JO"/>
        </w:rPr>
        <w:t>الشباب الذين يتمتعون بالمهارات من الوصول ل</w:t>
      </w:r>
      <w:r w:rsidR="004445F8" w:rsidRPr="00D720BC">
        <w:rPr>
          <w:rFonts w:ascii="Arial" w:hAnsi="Arial" w:cs="Arial" w:hint="cs"/>
          <w:sz w:val="22"/>
          <w:szCs w:val="22"/>
          <w:rtl/>
          <w:lang w:eastAsia="en-IE" w:bidi="ar-JO"/>
        </w:rPr>
        <w:t xml:space="preserve">رأس المال اللازم </w:t>
      </w:r>
      <w:r w:rsidR="00A57DBA">
        <w:rPr>
          <w:rFonts w:ascii="Arial" w:hAnsi="Arial" w:cs="Arial" w:hint="cs"/>
          <w:sz w:val="22"/>
          <w:szCs w:val="22"/>
          <w:rtl/>
          <w:lang w:eastAsia="en-IE" w:bidi="ar-JO"/>
        </w:rPr>
        <w:t>ليتمكنوا من ممارسة</w:t>
      </w:r>
      <w:r w:rsidR="004445F8" w:rsidRPr="00D720BC">
        <w:rPr>
          <w:rFonts w:ascii="Arial" w:hAnsi="Arial" w:cs="Arial" w:hint="cs"/>
          <w:sz w:val="22"/>
          <w:szCs w:val="22"/>
          <w:rtl/>
          <w:lang w:eastAsia="en-IE" w:bidi="ar-JO"/>
        </w:rPr>
        <w:t xml:space="preserve"> </w:t>
      </w:r>
      <w:r w:rsidR="00A57DBA">
        <w:rPr>
          <w:rFonts w:ascii="Arial" w:hAnsi="Arial" w:cs="Arial" w:hint="cs"/>
          <w:sz w:val="22"/>
          <w:szCs w:val="22"/>
          <w:rtl/>
          <w:lang w:eastAsia="en-IE" w:bidi="ar-JO"/>
        </w:rPr>
        <w:t>المهنة</w:t>
      </w:r>
      <w:r w:rsidR="004445F8" w:rsidRPr="00D720BC">
        <w:rPr>
          <w:rFonts w:ascii="Arial" w:hAnsi="Arial" w:cs="Arial" w:hint="cs"/>
          <w:sz w:val="22"/>
          <w:szCs w:val="22"/>
          <w:rtl/>
          <w:lang w:eastAsia="en-IE" w:bidi="ar-JO"/>
        </w:rPr>
        <w:t xml:space="preserve"> كأفراد يعملون </w:t>
      </w:r>
      <w:r w:rsidR="0007250E">
        <w:rPr>
          <w:rFonts w:ascii="Arial" w:hAnsi="Arial" w:cs="Arial" w:hint="cs"/>
          <w:sz w:val="22"/>
          <w:szCs w:val="22"/>
          <w:rtl/>
          <w:lang w:eastAsia="en-IE" w:bidi="ar-JO"/>
        </w:rPr>
        <w:t>لحسابهم</w:t>
      </w:r>
      <w:r w:rsidR="004445F8" w:rsidRPr="00D720BC">
        <w:rPr>
          <w:rFonts w:ascii="Arial" w:hAnsi="Arial" w:cs="Arial" w:hint="cs"/>
          <w:sz w:val="22"/>
          <w:szCs w:val="22"/>
          <w:rtl/>
          <w:lang w:eastAsia="en-IE" w:bidi="ar-JO"/>
        </w:rPr>
        <w:t xml:space="preserve"> الخاص.</w:t>
      </w:r>
    </w:p>
    <w:p w14:paraId="32273F5E" w14:textId="77777777" w:rsidR="00A57DBA" w:rsidRPr="00D720BC" w:rsidRDefault="00A57DBA" w:rsidP="00A57DBA">
      <w:pPr>
        <w:autoSpaceDE w:val="0"/>
        <w:autoSpaceDN w:val="0"/>
        <w:bidi/>
        <w:adjustRightInd w:val="0"/>
        <w:ind w:left="720"/>
        <w:jc w:val="both"/>
        <w:rPr>
          <w:rFonts w:ascii="Arial" w:hAnsi="Arial" w:cs="Arial"/>
          <w:sz w:val="22"/>
          <w:szCs w:val="22"/>
          <w:lang w:eastAsia="en-IE" w:bidi="ar-JO"/>
        </w:rPr>
      </w:pPr>
    </w:p>
    <w:p w14:paraId="26B6B458" w14:textId="77777777" w:rsidR="00D46FCD" w:rsidRPr="00A57DBA" w:rsidRDefault="00D46FCD" w:rsidP="00D720BC">
      <w:pPr>
        <w:jc w:val="both"/>
        <w:rPr>
          <w:rFonts w:ascii="Arial" w:hAnsi="Arial"/>
          <w:sz w:val="22"/>
          <w:szCs w:val="22"/>
          <w:lang w:val="en-US"/>
        </w:rPr>
      </w:pPr>
    </w:p>
    <w:p w14:paraId="4A315A7A" w14:textId="77777777" w:rsidR="00D46FCD" w:rsidRPr="00D720BC" w:rsidRDefault="00D46FCD" w:rsidP="00D720BC">
      <w:pPr>
        <w:jc w:val="both"/>
        <w:rPr>
          <w:rFonts w:ascii="Arial" w:hAnsi="Arial"/>
          <w:sz w:val="22"/>
          <w:szCs w:val="22"/>
        </w:rPr>
      </w:pPr>
    </w:p>
    <w:p w14:paraId="6268D13C" w14:textId="77777777" w:rsidR="00D46FCD" w:rsidRPr="00D720BC" w:rsidRDefault="00D46FCD" w:rsidP="00D720BC">
      <w:pPr>
        <w:jc w:val="both"/>
        <w:rPr>
          <w:rFonts w:ascii="Arial" w:hAnsi="Arial"/>
          <w:sz w:val="22"/>
          <w:szCs w:val="22"/>
        </w:rPr>
      </w:pPr>
    </w:p>
    <w:p w14:paraId="6A2FDF9C" w14:textId="77777777" w:rsidR="00D46FCD" w:rsidRPr="00D720BC" w:rsidRDefault="004445F8" w:rsidP="00D720BC">
      <w:pPr>
        <w:bidi/>
        <w:jc w:val="both"/>
        <w:rPr>
          <w:rFonts w:ascii="Arial" w:hAnsi="Arial"/>
          <w:bCs/>
          <w:sz w:val="22"/>
          <w:szCs w:val="22"/>
          <w:u w:val="single"/>
          <w:rtl/>
        </w:rPr>
      </w:pPr>
      <w:r w:rsidRPr="00D720BC">
        <w:rPr>
          <w:rFonts w:ascii="Arial" w:hAnsi="Arial" w:hint="cs"/>
          <w:bCs/>
          <w:sz w:val="22"/>
          <w:szCs w:val="22"/>
          <w:u w:val="single"/>
          <w:rtl/>
        </w:rPr>
        <w:t>إرشادات إضافية</w:t>
      </w:r>
    </w:p>
    <w:p w14:paraId="49A24454" w14:textId="77777777" w:rsidR="004445F8" w:rsidRPr="00D720BC" w:rsidRDefault="004445F8" w:rsidP="00D720BC">
      <w:pPr>
        <w:bidi/>
        <w:jc w:val="both"/>
        <w:rPr>
          <w:rFonts w:ascii="Arial" w:hAnsi="Arial"/>
          <w:b/>
          <w:sz w:val="22"/>
          <w:szCs w:val="22"/>
          <w:rtl/>
        </w:rPr>
      </w:pPr>
      <w:r w:rsidRPr="00D720BC">
        <w:rPr>
          <w:rFonts w:ascii="Arial" w:hAnsi="Arial" w:hint="cs"/>
          <w:b/>
          <w:sz w:val="22"/>
          <w:szCs w:val="22"/>
          <w:rtl/>
        </w:rPr>
        <w:t>فيما يلي بعض الأمثلة حول الممارسات الجيدة والدروس المستفادة في مجال الشباب وبرامج التعليم:</w:t>
      </w:r>
    </w:p>
    <w:p w14:paraId="7124307E" w14:textId="77777777" w:rsidR="004445F8" w:rsidRPr="00D720BC" w:rsidRDefault="00D720BC" w:rsidP="00D720BC">
      <w:pPr>
        <w:numPr>
          <w:ilvl w:val="0"/>
          <w:numId w:val="46"/>
        </w:numPr>
        <w:bidi/>
        <w:jc w:val="both"/>
        <w:rPr>
          <w:rFonts w:ascii="Arial" w:hAnsi="Arial"/>
          <w:b/>
          <w:sz w:val="22"/>
          <w:szCs w:val="22"/>
        </w:rPr>
      </w:pPr>
      <w:r w:rsidRPr="00D720BC">
        <w:rPr>
          <w:rFonts w:ascii="Arial" w:hAnsi="Arial" w:hint="cs"/>
          <w:bCs/>
          <w:sz w:val="22"/>
          <w:szCs w:val="22"/>
          <w:rtl/>
        </w:rPr>
        <w:t>التركيز على التعليم غير النظامي</w:t>
      </w:r>
      <w:r w:rsidRPr="00D720BC">
        <w:rPr>
          <w:rFonts w:ascii="Arial" w:hAnsi="Arial" w:hint="cs"/>
          <w:b/>
          <w:sz w:val="22"/>
          <w:szCs w:val="22"/>
          <w:rtl/>
        </w:rPr>
        <w:t>.</w:t>
      </w:r>
      <w:r w:rsidR="004445F8" w:rsidRPr="00D720BC">
        <w:rPr>
          <w:rFonts w:ascii="Arial" w:hAnsi="Arial" w:hint="cs"/>
          <w:b/>
          <w:sz w:val="22"/>
          <w:szCs w:val="22"/>
          <w:rtl/>
        </w:rPr>
        <w:t xml:space="preserve"> قد تكون برامج التعليم غير النظامي في أوقات الأزمات وأوقات إعادة الإعمار المبكرة </w:t>
      </w:r>
      <w:r w:rsidR="004F23D9" w:rsidRPr="00D720BC">
        <w:rPr>
          <w:rFonts w:ascii="Arial" w:hAnsi="Arial" w:hint="cs"/>
          <w:b/>
          <w:sz w:val="22"/>
          <w:szCs w:val="22"/>
          <w:rtl/>
        </w:rPr>
        <w:t>هي الطريقة الوحيدة التي يستطيع فيها الشباب الوصول إلى فرص التعليم والتدريب. يتطلب التصدي لحق الشباب غير الملتحقين بالمدارس في التعليم، والذين لا يستطيعون الانتظام بالمدارس التقليدية</w:t>
      </w:r>
      <w:r w:rsidR="00A57DBA">
        <w:rPr>
          <w:rFonts w:ascii="Arial" w:hAnsi="Arial" w:hint="cs"/>
          <w:b/>
          <w:sz w:val="22"/>
          <w:szCs w:val="22"/>
          <w:rtl/>
        </w:rPr>
        <w:t>، المرونة في التعامل</w:t>
      </w:r>
      <w:r w:rsidR="004F23D9" w:rsidRPr="00D720BC">
        <w:rPr>
          <w:rFonts w:ascii="Arial" w:hAnsi="Arial" w:hint="cs"/>
          <w:b/>
          <w:sz w:val="22"/>
          <w:szCs w:val="22"/>
          <w:rtl/>
        </w:rPr>
        <w:t xml:space="preserve"> وضمان مشاركة المستفيدين بشكل هادف في تصميم البرنامج، وفي عمليات التنفيذ والمتابعة. أمثلة: قام المجلس النرويجي للاجئين بتطوير حقيبة لتعليم القراءة والكتابة للشباب، وبرامج غير نظامي للاجئين الشباب في تانزانيا ورواندا. </w:t>
      </w:r>
    </w:p>
    <w:p w14:paraId="146533C8" w14:textId="77777777" w:rsidR="004F23D9" w:rsidRPr="00D720BC" w:rsidRDefault="004F23D9" w:rsidP="00A57DBA">
      <w:pPr>
        <w:numPr>
          <w:ilvl w:val="0"/>
          <w:numId w:val="46"/>
        </w:numPr>
        <w:bidi/>
        <w:jc w:val="both"/>
        <w:rPr>
          <w:rFonts w:ascii="Arial" w:hAnsi="Arial"/>
          <w:b/>
          <w:sz w:val="22"/>
          <w:szCs w:val="22"/>
        </w:rPr>
      </w:pPr>
      <w:r w:rsidRPr="00D720BC">
        <w:rPr>
          <w:rFonts w:ascii="Arial" w:hAnsi="Arial" w:hint="cs"/>
          <w:bCs/>
          <w:sz w:val="22"/>
          <w:szCs w:val="22"/>
          <w:rtl/>
        </w:rPr>
        <w:t>ضمان مشاركة الشباب الهادفة</w:t>
      </w:r>
      <w:r w:rsidRPr="00D720BC">
        <w:rPr>
          <w:rFonts w:ascii="Arial" w:hAnsi="Arial" w:hint="cs"/>
          <w:b/>
          <w:sz w:val="22"/>
          <w:szCs w:val="22"/>
          <w:rtl/>
        </w:rPr>
        <w:t xml:space="preserve">. تبين مراجعة الأدبيات المعاصرة حول الشباب في حالات الطوارئ وجود إقرار عالمي بأن مشاركة أصحاب الحقوق الشباب هو الطريقة الأفضل </w:t>
      </w:r>
      <w:r w:rsidR="00A57DBA">
        <w:rPr>
          <w:rFonts w:ascii="Arial" w:hAnsi="Arial" w:hint="cs"/>
          <w:b/>
          <w:sz w:val="22"/>
          <w:szCs w:val="22"/>
          <w:rtl/>
        </w:rPr>
        <w:t>ل</w:t>
      </w:r>
      <w:r w:rsidRPr="00D720BC">
        <w:rPr>
          <w:rFonts w:ascii="Arial" w:hAnsi="Arial" w:hint="cs"/>
          <w:b/>
          <w:sz w:val="22"/>
          <w:szCs w:val="22"/>
          <w:rtl/>
        </w:rPr>
        <w:t>تحقيق أهداف البرنامج، وأن مشاركتهم كان لها أثر كبير في مجالات أخرى غير تحقيق الأهداف المباشرة، وأن الفشل في إشراكهم كوكلاء للتغيير سيترجم إلى نتائج مخيبة للآمال.</w:t>
      </w:r>
    </w:p>
    <w:p w14:paraId="0980499D" w14:textId="77777777" w:rsidR="004F23D9" w:rsidRPr="00D720BC" w:rsidRDefault="004F23D9" w:rsidP="00A57DBA">
      <w:pPr>
        <w:bidi/>
        <w:ind w:left="720"/>
        <w:jc w:val="both"/>
        <w:rPr>
          <w:rFonts w:ascii="Arial" w:hAnsi="Arial"/>
          <w:b/>
          <w:sz w:val="22"/>
          <w:szCs w:val="22"/>
          <w:rtl/>
        </w:rPr>
      </w:pPr>
      <w:r w:rsidRPr="00D720BC">
        <w:rPr>
          <w:rFonts w:ascii="Arial" w:hAnsi="Arial" w:hint="cs"/>
          <w:b/>
          <w:sz w:val="22"/>
          <w:szCs w:val="22"/>
          <w:u w:val="single"/>
          <w:rtl/>
        </w:rPr>
        <w:t>مثال</w:t>
      </w:r>
      <w:r w:rsidRPr="00D720BC">
        <w:rPr>
          <w:rFonts w:ascii="Arial" w:hAnsi="Arial" w:hint="cs"/>
          <w:b/>
          <w:sz w:val="22"/>
          <w:szCs w:val="22"/>
          <w:rtl/>
        </w:rPr>
        <w:t xml:space="preserve">: تعمل مؤسسة بلان أستراليا على تطوير فرص للشباب في قضائين ريفيين في تيمور </w:t>
      </w:r>
      <w:r w:rsidR="00A57DBA">
        <w:rPr>
          <w:rFonts w:ascii="Arial" w:hAnsi="Arial" w:hint="cs"/>
          <w:b/>
          <w:sz w:val="22"/>
          <w:szCs w:val="22"/>
          <w:rtl/>
        </w:rPr>
        <w:t>لسيته</w:t>
      </w:r>
      <w:r w:rsidRPr="00D720BC">
        <w:rPr>
          <w:rFonts w:ascii="Arial" w:hAnsi="Arial" w:hint="cs"/>
          <w:b/>
          <w:sz w:val="22"/>
          <w:szCs w:val="22"/>
          <w:rtl/>
        </w:rPr>
        <w:t xml:space="preserve"> من خلال مشروعين عمليين متصلين: مشاركة شباب وسبل حياة الشباب.</w:t>
      </w:r>
    </w:p>
    <w:p w14:paraId="1994CA3A" w14:textId="77777777" w:rsidR="004F23D9" w:rsidRPr="00D720BC" w:rsidRDefault="00210371" w:rsidP="00C96C25">
      <w:pPr>
        <w:numPr>
          <w:ilvl w:val="0"/>
          <w:numId w:val="47"/>
        </w:numPr>
        <w:bidi/>
        <w:ind w:left="679" w:hanging="284"/>
        <w:jc w:val="both"/>
        <w:rPr>
          <w:rFonts w:ascii="Arial" w:hAnsi="Arial"/>
          <w:b/>
          <w:sz w:val="22"/>
          <w:szCs w:val="22"/>
        </w:rPr>
      </w:pPr>
      <w:r w:rsidRPr="00D720BC">
        <w:rPr>
          <w:rFonts w:ascii="Arial" w:hAnsi="Arial" w:hint="cs"/>
          <w:bCs/>
          <w:sz w:val="22"/>
          <w:szCs w:val="22"/>
          <w:rtl/>
        </w:rPr>
        <w:t>الحفاظ</w:t>
      </w:r>
      <w:r w:rsidR="00D720BC" w:rsidRPr="00D720BC">
        <w:rPr>
          <w:rFonts w:ascii="Arial" w:hAnsi="Arial" w:hint="cs"/>
          <w:bCs/>
          <w:sz w:val="22"/>
          <w:szCs w:val="22"/>
          <w:rtl/>
        </w:rPr>
        <w:t xml:space="preserve"> على منظور المساواة بين الجنسين</w:t>
      </w:r>
      <w:r w:rsidR="00D720BC" w:rsidRPr="00D720BC">
        <w:rPr>
          <w:rFonts w:ascii="Arial" w:hAnsi="Arial" w:hint="cs"/>
          <w:b/>
          <w:sz w:val="22"/>
          <w:szCs w:val="22"/>
          <w:rtl/>
        </w:rPr>
        <w:t>.</w:t>
      </w:r>
      <w:r w:rsidRPr="00D720BC">
        <w:rPr>
          <w:rFonts w:ascii="Arial" w:hAnsi="Arial" w:hint="cs"/>
          <w:b/>
          <w:sz w:val="22"/>
          <w:szCs w:val="22"/>
          <w:rtl/>
        </w:rPr>
        <w:t xml:space="preserve"> يعتبر الاهتمام بالمجموعات الفرعية المختلفة ضروريا في إعداد البرامج، وكذلك هي الحال في اعتبارات المساواة بين الشباب من الجنسين. يجب على معدي البرامج أن يعملوا على إشراك المتعلمين في عملية مستمرة لتحديد أي معيقات قد تعطل وصول أحد الجنسين للتعليم، والتصدي لهذه المسألة. يجب أن تتضمن البرامج الخاصة</w:t>
      </w:r>
      <w:r w:rsidR="00C96C25">
        <w:rPr>
          <w:rFonts w:ascii="Arial" w:hAnsi="Arial" w:hint="cs"/>
          <w:b/>
          <w:sz w:val="22"/>
          <w:szCs w:val="22"/>
          <w:rtl/>
        </w:rPr>
        <w:t xml:space="preserve"> بالفتيات خدمات الصحة الإنجابية</w:t>
      </w:r>
      <w:r w:rsidRPr="00D720BC">
        <w:rPr>
          <w:rFonts w:ascii="Arial" w:hAnsi="Arial" w:hint="cs"/>
          <w:b/>
          <w:sz w:val="22"/>
          <w:szCs w:val="22"/>
          <w:rtl/>
        </w:rPr>
        <w:t xml:space="preserve"> </w:t>
      </w:r>
      <w:r w:rsidR="00C96C25">
        <w:rPr>
          <w:rFonts w:ascii="Arial" w:hAnsi="Arial" w:hint="cs"/>
          <w:b/>
          <w:sz w:val="22"/>
          <w:szCs w:val="22"/>
          <w:rtl/>
        </w:rPr>
        <w:t>و</w:t>
      </w:r>
      <w:r w:rsidRPr="00D720BC">
        <w:rPr>
          <w:rFonts w:ascii="Arial" w:hAnsi="Arial" w:hint="cs"/>
          <w:b/>
          <w:sz w:val="22"/>
          <w:szCs w:val="22"/>
          <w:rtl/>
        </w:rPr>
        <w:t xml:space="preserve">الرعاية الصحية قبل </w:t>
      </w:r>
      <w:r w:rsidR="00C96C25">
        <w:rPr>
          <w:rFonts w:ascii="Arial" w:hAnsi="Arial" w:hint="cs"/>
          <w:b/>
          <w:sz w:val="22"/>
          <w:szCs w:val="22"/>
          <w:rtl/>
        </w:rPr>
        <w:t xml:space="preserve">الحمل وبعده </w:t>
      </w:r>
      <w:r w:rsidRPr="00D720BC">
        <w:rPr>
          <w:rFonts w:ascii="Arial" w:hAnsi="Arial" w:hint="cs"/>
          <w:b/>
          <w:sz w:val="22"/>
          <w:szCs w:val="22"/>
          <w:rtl/>
        </w:rPr>
        <w:t>دعم الوالدين، التدريب على المهارات الحياتية والخدمات الإرشادية حول العنف القائم على الجنس.</w:t>
      </w:r>
    </w:p>
    <w:p w14:paraId="7C1EE3C4" w14:textId="77777777" w:rsidR="00210371" w:rsidRPr="00D720BC" w:rsidRDefault="00210371" w:rsidP="00D720BC">
      <w:pPr>
        <w:bidi/>
        <w:ind w:left="679"/>
        <w:jc w:val="both"/>
        <w:rPr>
          <w:rFonts w:ascii="Arial" w:hAnsi="Arial"/>
          <w:b/>
          <w:sz w:val="22"/>
          <w:szCs w:val="22"/>
          <w:rtl/>
        </w:rPr>
      </w:pPr>
      <w:r w:rsidRPr="00D720BC">
        <w:rPr>
          <w:rFonts w:ascii="Arial" w:hAnsi="Arial" w:hint="cs"/>
          <w:b/>
          <w:sz w:val="22"/>
          <w:szCs w:val="22"/>
          <w:u w:val="single"/>
          <w:rtl/>
        </w:rPr>
        <w:t>مثال</w:t>
      </w:r>
      <w:r w:rsidRPr="00D720BC">
        <w:rPr>
          <w:rFonts w:ascii="Arial" w:hAnsi="Arial" w:hint="cs"/>
          <w:b/>
          <w:sz w:val="22"/>
          <w:szCs w:val="22"/>
          <w:rtl/>
        </w:rPr>
        <w:t>: يوفر برنامج المعاشات في بنغلاديش علاوة لتشجيع الأسر على إرسال الفتيات للمدرسة الإعدادية، والمساعدة في دفع تكاليف التعليم، بما فيها كلفة الامتحانات وجزء من الرسوم المدرسية، والكتب المرجعية، واللوازم، والزي المدرسي، والكتب، وتكاليف النقل والكيروسين.</w:t>
      </w:r>
    </w:p>
    <w:p w14:paraId="4814C818" w14:textId="77777777" w:rsidR="00210371" w:rsidRPr="00D720BC" w:rsidRDefault="00210371" w:rsidP="00D720BC">
      <w:pPr>
        <w:numPr>
          <w:ilvl w:val="0"/>
          <w:numId w:val="47"/>
        </w:numPr>
        <w:bidi/>
        <w:ind w:left="679" w:hanging="284"/>
        <w:jc w:val="both"/>
        <w:rPr>
          <w:rFonts w:ascii="Arial" w:hAnsi="Arial"/>
          <w:b/>
          <w:sz w:val="22"/>
          <w:szCs w:val="22"/>
        </w:rPr>
      </w:pPr>
      <w:r w:rsidRPr="00D720BC">
        <w:rPr>
          <w:rFonts w:ascii="Arial" w:hAnsi="Arial" w:hint="cs"/>
          <w:bCs/>
          <w:sz w:val="22"/>
          <w:szCs w:val="22"/>
          <w:rtl/>
        </w:rPr>
        <w:t>ربط حالة الطوارئ بالتحول</w:t>
      </w:r>
      <w:r w:rsidR="00D720BC" w:rsidRPr="00D720BC">
        <w:rPr>
          <w:rFonts w:ascii="Arial" w:hAnsi="Arial" w:hint="cs"/>
          <w:b/>
          <w:sz w:val="22"/>
          <w:szCs w:val="22"/>
          <w:rtl/>
        </w:rPr>
        <w:t>.</w:t>
      </w:r>
      <w:r w:rsidRPr="00D720BC">
        <w:rPr>
          <w:rFonts w:ascii="Arial" w:hAnsi="Arial" w:hint="cs"/>
          <w:b/>
          <w:sz w:val="22"/>
          <w:szCs w:val="22"/>
          <w:rtl/>
        </w:rPr>
        <w:t xml:space="preserve"> </w:t>
      </w:r>
      <w:r w:rsidR="00D720BC" w:rsidRPr="00D720BC">
        <w:rPr>
          <w:rFonts w:ascii="Arial" w:hAnsi="Arial" w:hint="cs"/>
          <w:b/>
          <w:sz w:val="22"/>
          <w:szCs w:val="22"/>
          <w:rtl/>
        </w:rPr>
        <w:t>قد تمثل الفترة التي تلحق بحالة الطوارئ فرصة لطرح سياسات تدعم الشباب على المستوى الوطني. يجب أن تعمل الجهات الدولية مع الوزارات لتعزيز العمل المشترك بين القطاعات المختلفة، بما في ذلك التعليم الذي يركز على الشباب.</w:t>
      </w:r>
    </w:p>
    <w:p w14:paraId="604D1E27" w14:textId="77777777" w:rsidR="00D720BC" w:rsidRPr="00D720BC" w:rsidRDefault="00D720BC" w:rsidP="00D720BC">
      <w:pPr>
        <w:bidi/>
        <w:ind w:left="679"/>
        <w:jc w:val="both"/>
        <w:rPr>
          <w:rFonts w:ascii="Arial" w:hAnsi="Arial"/>
          <w:b/>
          <w:sz w:val="22"/>
          <w:szCs w:val="22"/>
        </w:rPr>
      </w:pPr>
      <w:r w:rsidRPr="00D720BC">
        <w:rPr>
          <w:rFonts w:ascii="Arial" w:hAnsi="Arial" w:hint="cs"/>
          <w:b/>
          <w:sz w:val="22"/>
          <w:szCs w:val="22"/>
          <w:u w:val="single"/>
          <w:rtl/>
        </w:rPr>
        <w:t>مثال</w:t>
      </w:r>
      <w:r w:rsidRPr="00D720BC">
        <w:rPr>
          <w:rFonts w:ascii="Arial" w:hAnsi="Arial" w:hint="cs"/>
          <w:b/>
          <w:sz w:val="22"/>
          <w:szCs w:val="22"/>
          <w:rtl/>
        </w:rPr>
        <w:t>: البرنامج المشترك لتوظيف وتمكين الشابات والشباب، والذي أطلق عام 2008 من قبل حكومة ليبيريا والفريق القطري للأمم المتحدة، وتعزيز إمكانية توظيف الشباب كوسيلة للعمل على استدامة النمو الاقتصادي، وآلية للحفاظ على السلام والأمن.</w:t>
      </w:r>
    </w:p>
    <w:p w14:paraId="098AAB6B" w14:textId="77777777" w:rsidR="00D46FCD" w:rsidRPr="00D720BC" w:rsidRDefault="00D46FCD" w:rsidP="00D720BC">
      <w:pPr>
        <w:jc w:val="both"/>
        <w:rPr>
          <w:rFonts w:ascii="Arial" w:hAnsi="Arial"/>
          <w:sz w:val="22"/>
          <w:szCs w:val="22"/>
        </w:rPr>
      </w:pPr>
    </w:p>
    <w:p w14:paraId="27DED4E8" w14:textId="77777777" w:rsidR="00D46FCD" w:rsidRPr="00D720BC" w:rsidRDefault="00D46FCD" w:rsidP="00D720BC">
      <w:pPr>
        <w:jc w:val="both"/>
        <w:rPr>
          <w:rFonts w:ascii="Arial" w:hAnsi="Arial"/>
          <w:sz w:val="22"/>
          <w:szCs w:val="22"/>
        </w:rPr>
      </w:pPr>
    </w:p>
    <w:p w14:paraId="2A9A8221" w14:textId="77777777" w:rsidR="00D46FCD" w:rsidRPr="00D720BC" w:rsidRDefault="00D46FCD" w:rsidP="00D720BC">
      <w:pPr>
        <w:jc w:val="both"/>
        <w:rPr>
          <w:rFonts w:ascii="Arial" w:hAnsi="Arial"/>
          <w:sz w:val="22"/>
          <w:szCs w:val="22"/>
        </w:rPr>
      </w:pPr>
    </w:p>
    <w:p w14:paraId="047EE829" w14:textId="77777777" w:rsidR="00D46FCD" w:rsidRPr="00D720BC" w:rsidRDefault="00D46FCD" w:rsidP="00D720BC">
      <w:pPr>
        <w:jc w:val="both"/>
        <w:rPr>
          <w:rFonts w:ascii="Arial" w:hAnsi="Arial"/>
          <w:sz w:val="22"/>
          <w:szCs w:val="22"/>
        </w:rPr>
      </w:pPr>
    </w:p>
    <w:p w14:paraId="139D1AE7" w14:textId="77777777" w:rsidR="00D46FCD" w:rsidRPr="00D720BC" w:rsidRDefault="00D46FCD" w:rsidP="00D720BC">
      <w:pPr>
        <w:jc w:val="both"/>
        <w:rPr>
          <w:rFonts w:ascii="Arial" w:hAnsi="Arial"/>
          <w:sz w:val="22"/>
          <w:szCs w:val="22"/>
        </w:rPr>
      </w:pPr>
    </w:p>
    <w:sectPr w:rsidR="00D46FCD" w:rsidRPr="00D720BC" w:rsidSect="00804711">
      <w:pgSz w:w="11900" w:h="16840"/>
      <w:pgMar w:top="720" w:right="720" w:bottom="731" w:left="720" w:header="709" w:footer="709" w:gutter="0"/>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4E2CB8" w14:textId="77777777" w:rsidR="002D02CA" w:rsidRDefault="002D02CA" w:rsidP="00D46FCD">
      <w:r>
        <w:separator/>
      </w:r>
    </w:p>
  </w:endnote>
  <w:endnote w:type="continuationSeparator" w:id="0">
    <w:p w14:paraId="0FC11585" w14:textId="77777777" w:rsidR="002D02CA" w:rsidRDefault="002D02CA" w:rsidP="00D46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Bliss-Light">
    <w:altName w:val="Times New Roman"/>
    <w:panose1 w:val="00000000000000000000"/>
    <w:charset w:val="4D"/>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F7FCD" w14:textId="77777777" w:rsidR="002D02CA" w:rsidRDefault="002D02CA" w:rsidP="00D46FCD">
      <w:r>
        <w:separator/>
      </w:r>
    </w:p>
  </w:footnote>
  <w:footnote w:type="continuationSeparator" w:id="0">
    <w:p w14:paraId="6AD6F35A" w14:textId="77777777" w:rsidR="002D02CA" w:rsidRDefault="002D02CA" w:rsidP="00D46FC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144B2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3648274"/>
    <w:lvl w:ilvl="0">
      <w:start w:val="1"/>
      <w:numFmt w:val="decimal"/>
      <w:lvlText w:val="%1."/>
      <w:lvlJc w:val="left"/>
      <w:pPr>
        <w:tabs>
          <w:tab w:val="num" w:pos="1800"/>
        </w:tabs>
        <w:ind w:left="1800" w:hanging="360"/>
      </w:pPr>
    </w:lvl>
  </w:abstractNum>
  <w:abstractNum w:abstractNumId="2">
    <w:nsid w:val="FFFFFF7D"/>
    <w:multiLevelType w:val="singleLevel"/>
    <w:tmpl w:val="F8100DE0"/>
    <w:lvl w:ilvl="0">
      <w:start w:val="1"/>
      <w:numFmt w:val="decimal"/>
      <w:lvlText w:val="%1."/>
      <w:lvlJc w:val="left"/>
      <w:pPr>
        <w:tabs>
          <w:tab w:val="num" w:pos="1440"/>
        </w:tabs>
        <w:ind w:left="1440" w:hanging="360"/>
      </w:pPr>
    </w:lvl>
  </w:abstractNum>
  <w:abstractNum w:abstractNumId="3">
    <w:nsid w:val="FFFFFF7E"/>
    <w:multiLevelType w:val="singleLevel"/>
    <w:tmpl w:val="985C9D56"/>
    <w:lvl w:ilvl="0">
      <w:start w:val="1"/>
      <w:numFmt w:val="decimal"/>
      <w:lvlText w:val="%1."/>
      <w:lvlJc w:val="left"/>
      <w:pPr>
        <w:tabs>
          <w:tab w:val="num" w:pos="1080"/>
        </w:tabs>
        <w:ind w:left="1080" w:hanging="360"/>
      </w:pPr>
    </w:lvl>
  </w:abstractNum>
  <w:abstractNum w:abstractNumId="4">
    <w:nsid w:val="FFFFFF7F"/>
    <w:multiLevelType w:val="singleLevel"/>
    <w:tmpl w:val="9ACC2B20"/>
    <w:lvl w:ilvl="0">
      <w:start w:val="1"/>
      <w:numFmt w:val="decimal"/>
      <w:lvlText w:val="%1."/>
      <w:lvlJc w:val="left"/>
      <w:pPr>
        <w:tabs>
          <w:tab w:val="num" w:pos="720"/>
        </w:tabs>
        <w:ind w:left="720" w:hanging="360"/>
      </w:pPr>
    </w:lvl>
  </w:abstractNum>
  <w:abstractNum w:abstractNumId="5">
    <w:nsid w:val="FFFFFF80"/>
    <w:multiLevelType w:val="singleLevel"/>
    <w:tmpl w:val="BA7E21B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FD68C9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B90107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B9EC0FA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E74E5E2"/>
    <w:lvl w:ilvl="0">
      <w:start w:val="1"/>
      <w:numFmt w:val="decimal"/>
      <w:lvlText w:val="%1."/>
      <w:lvlJc w:val="left"/>
      <w:pPr>
        <w:tabs>
          <w:tab w:val="num" w:pos="360"/>
        </w:tabs>
        <w:ind w:left="360" w:hanging="360"/>
      </w:pPr>
    </w:lvl>
  </w:abstractNum>
  <w:abstractNum w:abstractNumId="10">
    <w:nsid w:val="FFFFFF89"/>
    <w:multiLevelType w:val="singleLevel"/>
    <w:tmpl w:val="6E7E3982"/>
    <w:lvl w:ilvl="0">
      <w:start w:val="1"/>
      <w:numFmt w:val="bullet"/>
      <w:lvlText w:val=""/>
      <w:lvlJc w:val="left"/>
      <w:pPr>
        <w:tabs>
          <w:tab w:val="num" w:pos="360"/>
        </w:tabs>
        <w:ind w:left="360" w:hanging="360"/>
      </w:pPr>
      <w:rPr>
        <w:rFonts w:ascii="Symbol" w:hAnsi="Symbol" w:hint="default"/>
      </w:rPr>
    </w:lvl>
  </w:abstractNum>
  <w:abstractNum w:abstractNumId="11">
    <w:nsid w:val="02076DB8"/>
    <w:multiLevelType w:val="multilevel"/>
    <w:tmpl w:val="9D58C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2860891"/>
    <w:multiLevelType w:val="hybridMultilevel"/>
    <w:tmpl w:val="8972738E"/>
    <w:lvl w:ilvl="0" w:tplc="E1CE4F88">
      <w:start w:val="3"/>
      <w:numFmt w:val="bullet"/>
      <w:lvlText w:val=""/>
      <w:lvlJc w:val="left"/>
      <w:pPr>
        <w:ind w:left="720" w:hanging="360"/>
      </w:pPr>
      <w:rPr>
        <w:rFonts w:ascii="Symbol" w:eastAsia="Cambria" w:hAnsi="Symbol" w:cs="Lucida Grande"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6324F32"/>
    <w:multiLevelType w:val="hybridMultilevel"/>
    <w:tmpl w:val="C826E8B8"/>
    <w:lvl w:ilvl="0" w:tplc="B894817A">
      <w:start w:val="1"/>
      <w:numFmt w:val="bullet"/>
      <w:lvlText w:val="•"/>
      <w:lvlJc w:val="left"/>
      <w:pPr>
        <w:tabs>
          <w:tab w:val="num" w:pos="720"/>
        </w:tabs>
        <w:ind w:left="720" w:hanging="360"/>
      </w:pPr>
      <w:rPr>
        <w:rFonts w:ascii="Lucida Grande" w:hAnsi="Lucida Grande" w:hint="default"/>
        <w:color w:val="0000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0FB8474A"/>
    <w:multiLevelType w:val="hybridMultilevel"/>
    <w:tmpl w:val="11680EA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Lucida Grande"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Lucida Grande"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Lucida Grande"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0FF84249"/>
    <w:multiLevelType w:val="hybridMultilevel"/>
    <w:tmpl w:val="764EE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0C04D6E"/>
    <w:multiLevelType w:val="hybridMultilevel"/>
    <w:tmpl w:val="853483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4A70B2"/>
    <w:multiLevelType w:val="hybridMultilevel"/>
    <w:tmpl w:val="61AA1BC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Lucida Grande"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Lucida Grande"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Lucida Grande"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1D7956CF"/>
    <w:multiLevelType w:val="multilevel"/>
    <w:tmpl w:val="0DC48334"/>
    <w:lvl w:ilvl="0">
      <w:start w:val="1"/>
      <w:numFmt w:val="decimal"/>
      <w:lvlText w:val="%1."/>
      <w:lvlJc w:val="left"/>
      <w:pPr>
        <w:ind w:left="900" w:hanging="360"/>
      </w:pPr>
    </w:lvl>
    <w:lvl w:ilvl="1">
      <w:start w:val="1"/>
      <w:numFmt w:val="decimal"/>
      <w:isLgl/>
      <w:lvlText w:val="%1.%2"/>
      <w:lvlJc w:val="left"/>
      <w:pPr>
        <w:ind w:left="126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2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440"/>
      </w:pPr>
      <w:rPr>
        <w:rFonts w:hint="default"/>
      </w:rPr>
    </w:lvl>
    <w:lvl w:ilvl="8">
      <w:start w:val="1"/>
      <w:numFmt w:val="decimal"/>
      <w:isLgl/>
      <w:lvlText w:val="%1.%2.%3.%4.%5.%6.%7.%8.%9"/>
      <w:lvlJc w:val="left"/>
      <w:pPr>
        <w:ind w:left="5220" w:hanging="1800"/>
      </w:pPr>
      <w:rPr>
        <w:rFonts w:hint="default"/>
      </w:rPr>
    </w:lvl>
  </w:abstractNum>
  <w:abstractNum w:abstractNumId="19">
    <w:nsid w:val="1E0F5EF5"/>
    <w:multiLevelType w:val="hybridMultilevel"/>
    <w:tmpl w:val="6658A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EED13ED"/>
    <w:multiLevelType w:val="hybridMultilevel"/>
    <w:tmpl w:val="3BB28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1562497"/>
    <w:multiLevelType w:val="hybridMultilevel"/>
    <w:tmpl w:val="BE06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62E5AB7"/>
    <w:multiLevelType w:val="hybridMultilevel"/>
    <w:tmpl w:val="9698D57E"/>
    <w:lvl w:ilvl="0" w:tplc="E1CE4F88">
      <w:start w:val="3"/>
      <w:numFmt w:val="bullet"/>
      <w:lvlText w:val=""/>
      <w:lvlJc w:val="left"/>
      <w:pPr>
        <w:ind w:left="720" w:hanging="360"/>
      </w:pPr>
      <w:rPr>
        <w:rFonts w:ascii="Symbol" w:eastAsia="Cambria" w:hAnsi="Symbol" w:cs="Lucida Grande"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6A25E0A"/>
    <w:multiLevelType w:val="multilevel"/>
    <w:tmpl w:val="F4003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07A695B"/>
    <w:multiLevelType w:val="hybridMultilevel"/>
    <w:tmpl w:val="4916684E"/>
    <w:lvl w:ilvl="0" w:tplc="B894817A">
      <w:start w:val="1"/>
      <w:numFmt w:val="bullet"/>
      <w:lvlText w:val="•"/>
      <w:lvlJc w:val="left"/>
      <w:pPr>
        <w:tabs>
          <w:tab w:val="num" w:pos="720"/>
        </w:tabs>
        <w:ind w:left="720" w:hanging="360"/>
      </w:pPr>
      <w:rPr>
        <w:rFonts w:ascii="Lucida Grande" w:hAnsi="Lucida Grande" w:hint="default"/>
        <w:color w:val="0000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3380058B"/>
    <w:multiLevelType w:val="multilevel"/>
    <w:tmpl w:val="CA5E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46136A6"/>
    <w:multiLevelType w:val="hybridMultilevel"/>
    <w:tmpl w:val="6CDCC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B87BEF"/>
    <w:multiLevelType w:val="hybridMultilevel"/>
    <w:tmpl w:val="102E3A8A"/>
    <w:lvl w:ilvl="0" w:tplc="86C2501E">
      <w:start w:val="3"/>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8">
    <w:nsid w:val="38124098"/>
    <w:multiLevelType w:val="hybridMultilevel"/>
    <w:tmpl w:val="85269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8FE363A"/>
    <w:multiLevelType w:val="hybridMultilevel"/>
    <w:tmpl w:val="C268A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52E4613"/>
    <w:multiLevelType w:val="hybridMultilevel"/>
    <w:tmpl w:val="EEBA1C60"/>
    <w:lvl w:ilvl="0" w:tplc="68C21816">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nsid w:val="47AD0A76"/>
    <w:multiLevelType w:val="hybridMultilevel"/>
    <w:tmpl w:val="FB3A7D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
    <w:nsid w:val="48D7360A"/>
    <w:multiLevelType w:val="hybridMultilevel"/>
    <w:tmpl w:val="C9A8E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C0D48C8"/>
    <w:multiLevelType w:val="hybridMultilevel"/>
    <w:tmpl w:val="62D06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CFB0B00"/>
    <w:multiLevelType w:val="hybridMultilevel"/>
    <w:tmpl w:val="6DE4622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Lucida Grande"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Lucida Grande"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Lucida Grande"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nsid w:val="4D267A53"/>
    <w:multiLevelType w:val="multilevel"/>
    <w:tmpl w:val="0DC48334"/>
    <w:lvl w:ilvl="0">
      <w:start w:val="1"/>
      <w:numFmt w:val="decimal"/>
      <w:lvlText w:val="%1."/>
      <w:lvlJc w:val="left"/>
      <w:pPr>
        <w:ind w:left="900" w:hanging="360"/>
      </w:pPr>
    </w:lvl>
    <w:lvl w:ilvl="1">
      <w:start w:val="1"/>
      <w:numFmt w:val="decimal"/>
      <w:isLgl/>
      <w:lvlText w:val="%1.%2"/>
      <w:lvlJc w:val="left"/>
      <w:pPr>
        <w:ind w:left="126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2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440"/>
      </w:pPr>
      <w:rPr>
        <w:rFonts w:hint="default"/>
      </w:rPr>
    </w:lvl>
    <w:lvl w:ilvl="8">
      <w:start w:val="1"/>
      <w:numFmt w:val="decimal"/>
      <w:isLgl/>
      <w:lvlText w:val="%1.%2.%3.%4.%5.%6.%7.%8.%9"/>
      <w:lvlJc w:val="left"/>
      <w:pPr>
        <w:ind w:left="5220" w:hanging="1800"/>
      </w:pPr>
      <w:rPr>
        <w:rFonts w:hint="default"/>
      </w:rPr>
    </w:lvl>
  </w:abstractNum>
  <w:abstractNum w:abstractNumId="36">
    <w:nsid w:val="4D480B35"/>
    <w:multiLevelType w:val="hybridMultilevel"/>
    <w:tmpl w:val="4D48193E"/>
    <w:lvl w:ilvl="0" w:tplc="E1CE4F88">
      <w:start w:val="3"/>
      <w:numFmt w:val="bullet"/>
      <w:lvlText w:val=""/>
      <w:lvlJc w:val="left"/>
      <w:pPr>
        <w:ind w:left="720" w:hanging="360"/>
      </w:pPr>
      <w:rPr>
        <w:rFonts w:ascii="Symbol" w:eastAsia="Cambria" w:hAnsi="Symbol" w:cs="Lucida Grande"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FDE3397"/>
    <w:multiLevelType w:val="hybridMultilevel"/>
    <w:tmpl w:val="16924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2C33A80"/>
    <w:multiLevelType w:val="hybridMultilevel"/>
    <w:tmpl w:val="FFFAD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59560458"/>
    <w:multiLevelType w:val="hybridMultilevel"/>
    <w:tmpl w:val="BD004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AD971EC"/>
    <w:multiLevelType w:val="hybridMultilevel"/>
    <w:tmpl w:val="55889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4474EBC"/>
    <w:multiLevelType w:val="hybridMultilevel"/>
    <w:tmpl w:val="124EA36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Lucida Grande"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Lucida Grande"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Lucida Grande"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nsid w:val="68165CB9"/>
    <w:multiLevelType w:val="hybridMultilevel"/>
    <w:tmpl w:val="E08E6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8240189"/>
    <w:multiLevelType w:val="hybridMultilevel"/>
    <w:tmpl w:val="E3F49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0B653A"/>
    <w:multiLevelType w:val="hybridMultilevel"/>
    <w:tmpl w:val="052E0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7A134D5"/>
    <w:multiLevelType w:val="hybridMultilevel"/>
    <w:tmpl w:val="2A243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FF22D2"/>
    <w:multiLevelType w:val="hybridMultilevel"/>
    <w:tmpl w:val="731423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5"/>
  </w:num>
  <w:num w:numId="2">
    <w:abstractNumId w:val="43"/>
  </w:num>
  <w:num w:numId="3">
    <w:abstractNumId w:val="25"/>
  </w:num>
  <w:num w:numId="4">
    <w:abstractNumId w:val="14"/>
  </w:num>
  <w:num w:numId="5">
    <w:abstractNumId w:val="37"/>
  </w:num>
  <w:num w:numId="6">
    <w:abstractNumId w:val="26"/>
  </w:num>
  <w:num w:numId="7">
    <w:abstractNumId w:val="29"/>
  </w:num>
  <w:num w:numId="8">
    <w:abstractNumId w:val="20"/>
  </w:num>
  <w:num w:numId="9">
    <w:abstractNumId w:val="33"/>
  </w:num>
  <w:num w:numId="10">
    <w:abstractNumId w:val="28"/>
  </w:num>
  <w:num w:numId="11">
    <w:abstractNumId w:val="16"/>
  </w:num>
  <w:num w:numId="12">
    <w:abstractNumId w:val="18"/>
  </w:num>
  <w:num w:numId="13">
    <w:abstractNumId w:val="41"/>
  </w:num>
  <w:num w:numId="14">
    <w:abstractNumId w:val="22"/>
  </w:num>
  <w:num w:numId="15">
    <w:abstractNumId w:val="12"/>
  </w:num>
  <w:num w:numId="16">
    <w:abstractNumId w:val="36"/>
  </w:num>
  <w:num w:numId="17">
    <w:abstractNumId w:val="40"/>
  </w:num>
  <w:num w:numId="18">
    <w:abstractNumId w:val="17"/>
  </w:num>
  <w:num w:numId="19">
    <w:abstractNumId w:val="11"/>
  </w:num>
  <w:num w:numId="20">
    <w:abstractNumId w:val="23"/>
  </w:num>
  <w:num w:numId="21">
    <w:abstractNumId w:val="45"/>
  </w:num>
  <w:num w:numId="22">
    <w:abstractNumId w:val="34"/>
  </w:num>
  <w:num w:numId="23">
    <w:abstractNumId w:val="27"/>
  </w:num>
  <w:num w:numId="24">
    <w:abstractNumId w:val="13"/>
  </w:num>
  <w:num w:numId="25">
    <w:abstractNumId w:val="24"/>
  </w:num>
  <w:num w:numId="26">
    <w:abstractNumId w:val="19"/>
  </w:num>
  <w:num w:numId="27">
    <w:abstractNumId w:val="42"/>
  </w:num>
  <w:num w:numId="28">
    <w:abstractNumId w:val="32"/>
  </w:num>
  <w:num w:numId="29">
    <w:abstractNumId w:val="15"/>
  </w:num>
  <w:num w:numId="30">
    <w:abstractNumId w:val="39"/>
  </w:num>
  <w:num w:numId="31">
    <w:abstractNumId w:val="44"/>
  </w:num>
  <w:num w:numId="32">
    <w:abstractNumId w:val="0"/>
  </w:num>
  <w:num w:numId="33">
    <w:abstractNumId w:val="10"/>
  </w:num>
  <w:num w:numId="34">
    <w:abstractNumId w:val="8"/>
  </w:num>
  <w:num w:numId="35">
    <w:abstractNumId w:val="7"/>
  </w:num>
  <w:num w:numId="36">
    <w:abstractNumId w:val="6"/>
  </w:num>
  <w:num w:numId="37">
    <w:abstractNumId w:val="5"/>
  </w:num>
  <w:num w:numId="38">
    <w:abstractNumId w:val="9"/>
  </w:num>
  <w:num w:numId="39">
    <w:abstractNumId w:val="4"/>
  </w:num>
  <w:num w:numId="40">
    <w:abstractNumId w:val="3"/>
  </w:num>
  <w:num w:numId="41">
    <w:abstractNumId w:val="2"/>
  </w:num>
  <w:num w:numId="42">
    <w:abstractNumId w:val="1"/>
  </w:num>
  <w:num w:numId="43">
    <w:abstractNumId w:val="31"/>
  </w:num>
  <w:num w:numId="44">
    <w:abstractNumId w:val="30"/>
  </w:num>
  <w:num w:numId="45">
    <w:abstractNumId w:val="21"/>
  </w:num>
  <w:num w:numId="46">
    <w:abstractNumId w:val="38"/>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B7317"/>
    <w:rsid w:val="0007250E"/>
    <w:rsid w:val="000D74A1"/>
    <w:rsid w:val="00210371"/>
    <w:rsid w:val="00276113"/>
    <w:rsid w:val="002A0F81"/>
    <w:rsid w:val="002D02CA"/>
    <w:rsid w:val="004445F8"/>
    <w:rsid w:val="004F23D9"/>
    <w:rsid w:val="004F606B"/>
    <w:rsid w:val="00506365"/>
    <w:rsid w:val="00591212"/>
    <w:rsid w:val="00711391"/>
    <w:rsid w:val="0075552A"/>
    <w:rsid w:val="00790C42"/>
    <w:rsid w:val="007F1456"/>
    <w:rsid w:val="00804416"/>
    <w:rsid w:val="00804711"/>
    <w:rsid w:val="008C35C2"/>
    <w:rsid w:val="009B7317"/>
    <w:rsid w:val="009F2F75"/>
    <w:rsid w:val="00A57DBA"/>
    <w:rsid w:val="00C42655"/>
    <w:rsid w:val="00C641E4"/>
    <w:rsid w:val="00C96C25"/>
    <w:rsid w:val="00CB7DED"/>
    <w:rsid w:val="00D46FCD"/>
    <w:rsid w:val="00D720BC"/>
    <w:rsid w:val="00D83570"/>
    <w:rsid w:val="00E8467B"/>
    <w:rsid w:val="00EE3D8C"/>
    <w:rsid w:val="00F461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B15A3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317"/>
    <w:rPr>
      <w:rFonts w:ascii="Cambria" w:eastAsia="Cambria" w:hAnsi="Cambria"/>
      <w:sz w:val="24"/>
      <w:szCs w:val="24"/>
      <w:lang w:val="en-GB"/>
    </w:rPr>
  </w:style>
  <w:style w:type="paragraph" w:styleId="Heading1">
    <w:name w:val="heading 1"/>
    <w:basedOn w:val="Normal"/>
    <w:link w:val="Heading1Char"/>
    <w:uiPriority w:val="9"/>
    <w:qFormat/>
    <w:rsid w:val="009F5573"/>
    <w:pPr>
      <w:spacing w:before="100" w:beforeAutospacing="1" w:after="100" w:afterAutospacing="1"/>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iPriority w:val="9"/>
    <w:qFormat/>
    <w:rsid w:val="00F81EA1"/>
    <w:pPr>
      <w:keepNext/>
      <w:spacing w:before="240" w:after="60"/>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S,fn,single space,footnote text,Note de bas de page Car,Footnote Text Char Car,Footnote Text Char1 Char Car,Footnote Text Char Char Char Car,Footnote Text Char1 Char,Footnote Text Char Char Char"/>
    <w:basedOn w:val="Normal"/>
    <w:link w:val="FootnoteTextChar"/>
    <w:unhideWhenUsed/>
    <w:rsid w:val="00E0014D"/>
    <w:rPr>
      <w:rFonts w:ascii="Calibri" w:eastAsia="Calibri" w:hAnsi="Calibri"/>
      <w:sz w:val="20"/>
      <w:szCs w:val="20"/>
    </w:rPr>
  </w:style>
  <w:style w:type="character" w:customStyle="1" w:styleId="FootnoteTextChar">
    <w:name w:val="Footnote Text Char"/>
    <w:aliases w:val="FOOTNOTES Char,fn Char,single space Char,footnote text Char,Note de bas de page Car Char,Footnote Text Char Car Char,Footnote Text Char1 Char Car Char,Footnote Text Char Char Char Car Char,Footnote Text Char1 Char Char"/>
    <w:basedOn w:val="DefaultParagraphFont"/>
    <w:link w:val="FootnoteText"/>
    <w:rsid w:val="00E0014D"/>
  </w:style>
  <w:style w:type="character" w:styleId="FootnoteReference">
    <w:name w:val="footnote reference"/>
    <w:basedOn w:val="DefaultParagraphFont"/>
    <w:semiHidden/>
    <w:unhideWhenUsed/>
    <w:rsid w:val="00E0014D"/>
    <w:rPr>
      <w:vertAlign w:val="superscript"/>
    </w:rPr>
  </w:style>
  <w:style w:type="paragraph" w:styleId="EndnoteText">
    <w:name w:val="endnote text"/>
    <w:basedOn w:val="Normal"/>
    <w:link w:val="EndnoteTextChar"/>
    <w:uiPriority w:val="99"/>
    <w:unhideWhenUsed/>
    <w:rsid w:val="002D69E3"/>
    <w:rPr>
      <w:sz w:val="20"/>
      <w:szCs w:val="20"/>
    </w:rPr>
  </w:style>
  <w:style w:type="character" w:customStyle="1" w:styleId="EndnoteTextChar">
    <w:name w:val="Endnote Text Char"/>
    <w:basedOn w:val="DefaultParagraphFont"/>
    <w:link w:val="EndnoteText"/>
    <w:uiPriority w:val="99"/>
    <w:rsid w:val="002D69E3"/>
    <w:rPr>
      <w:rFonts w:ascii="Cambria" w:eastAsia="Cambria" w:hAnsi="Cambria"/>
    </w:rPr>
  </w:style>
  <w:style w:type="character" w:styleId="EndnoteReference">
    <w:name w:val="endnote reference"/>
    <w:basedOn w:val="DefaultParagraphFont"/>
    <w:uiPriority w:val="99"/>
    <w:semiHidden/>
    <w:unhideWhenUsed/>
    <w:rsid w:val="002D69E3"/>
    <w:rPr>
      <w:vertAlign w:val="superscript"/>
    </w:rPr>
  </w:style>
  <w:style w:type="character" w:styleId="CommentReference">
    <w:name w:val="annotation reference"/>
    <w:basedOn w:val="DefaultParagraphFont"/>
    <w:semiHidden/>
    <w:unhideWhenUsed/>
    <w:rsid w:val="000B122D"/>
    <w:rPr>
      <w:sz w:val="16"/>
      <w:szCs w:val="16"/>
    </w:rPr>
  </w:style>
  <w:style w:type="paragraph" w:styleId="CommentText">
    <w:name w:val="annotation text"/>
    <w:basedOn w:val="Normal"/>
    <w:link w:val="CommentTextChar"/>
    <w:semiHidden/>
    <w:unhideWhenUsed/>
    <w:rsid w:val="000B122D"/>
    <w:rPr>
      <w:sz w:val="20"/>
      <w:szCs w:val="20"/>
    </w:rPr>
  </w:style>
  <w:style w:type="character" w:customStyle="1" w:styleId="CommentTextChar">
    <w:name w:val="Comment Text Char"/>
    <w:basedOn w:val="DefaultParagraphFont"/>
    <w:link w:val="CommentText"/>
    <w:semiHidden/>
    <w:rsid w:val="000B122D"/>
    <w:rPr>
      <w:rFonts w:ascii="Cambria" w:eastAsia="Cambria" w:hAnsi="Cambria"/>
    </w:rPr>
  </w:style>
  <w:style w:type="paragraph" w:styleId="CommentSubject">
    <w:name w:val="annotation subject"/>
    <w:basedOn w:val="CommentText"/>
    <w:next w:val="CommentText"/>
    <w:link w:val="CommentSubjectChar"/>
    <w:uiPriority w:val="99"/>
    <w:semiHidden/>
    <w:unhideWhenUsed/>
    <w:rsid w:val="000B122D"/>
    <w:rPr>
      <w:b/>
      <w:bCs/>
    </w:rPr>
  </w:style>
  <w:style w:type="character" w:customStyle="1" w:styleId="CommentSubjectChar">
    <w:name w:val="Comment Subject Char"/>
    <w:basedOn w:val="CommentTextChar"/>
    <w:link w:val="CommentSubject"/>
    <w:uiPriority w:val="99"/>
    <w:semiHidden/>
    <w:rsid w:val="000B122D"/>
    <w:rPr>
      <w:rFonts w:ascii="Cambria" w:eastAsia="Cambria" w:hAnsi="Cambria"/>
      <w:b/>
      <w:bCs/>
    </w:rPr>
  </w:style>
  <w:style w:type="paragraph" w:styleId="BalloonText">
    <w:name w:val="Balloon Text"/>
    <w:basedOn w:val="Normal"/>
    <w:link w:val="BalloonTextChar"/>
    <w:uiPriority w:val="99"/>
    <w:semiHidden/>
    <w:unhideWhenUsed/>
    <w:rsid w:val="000B122D"/>
    <w:rPr>
      <w:rFonts w:ascii="Tahoma" w:hAnsi="Tahoma" w:cs="Tahoma"/>
      <w:sz w:val="16"/>
      <w:szCs w:val="16"/>
    </w:rPr>
  </w:style>
  <w:style w:type="character" w:customStyle="1" w:styleId="BalloonTextChar">
    <w:name w:val="Balloon Text Char"/>
    <w:basedOn w:val="DefaultParagraphFont"/>
    <w:link w:val="BalloonText"/>
    <w:uiPriority w:val="99"/>
    <w:semiHidden/>
    <w:rsid w:val="000B122D"/>
    <w:rPr>
      <w:rFonts w:ascii="Tahoma" w:eastAsia="Cambria" w:hAnsi="Tahoma" w:cs="Tahoma"/>
      <w:sz w:val="16"/>
      <w:szCs w:val="16"/>
    </w:rPr>
  </w:style>
  <w:style w:type="paragraph" w:customStyle="1" w:styleId="ColorfulShading-Accent11">
    <w:name w:val="Colorful Shading - Accent 11"/>
    <w:hidden/>
    <w:uiPriority w:val="99"/>
    <w:semiHidden/>
    <w:rsid w:val="00DE3254"/>
    <w:rPr>
      <w:rFonts w:ascii="Cambria" w:eastAsia="Cambria" w:hAnsi="Cambria"/>
      <w:sz w:val="24"/>
      <w:szCs w:val="24"/>
    </w:rPr>
  </w:style>
  <w:style w:type="paragraph" w:customStyle="1" w:styleId="ColorfulList-Accent11">
    <w:name w:val="Colorful List - Accent 11"/>
    <w:basedOn w:val="Normal"/>
    <w:uiPriority w:val="34"/>
    <w:qFormat/>
    <w:rsid w:val="006015DB"/>
    <w:pPr>
      <w:ind w:left="720"/>
    </w:pPr>
  </w:style>
  <w:style w:type="character" w:styleId="Hyperlink">
    <w:name w:val="Hyperlink"/>
    <w:basedOn w:val="DefaultParagraphFont"/>
    <w:uiPriority w:val="99"/>
    <w:unhideWhenUsed/>
    <w:rsid w:val="009F5573"/>
    <w:rPr>
      <w:color w:val="0000FF"/>
      <w:u w:val="single"/>
    </w:rPr>
  </w:style>
  <w:style w:type="character" w:customStyle="1" w:styleId="Heading1Char">
    <w:name w:val="Heading 1 Char"/>
    <w:basedOn w:val="DefaultParagraphFont"/>
    <w:link w:val="Heading1"/>
    <w:uiPriority w:val="9"/>
    <w:rsid w:val="009F5573"/>
    <w:rPr>
      <w:rFonts w:ascii="Times New Roman" w:eastAsia="Times New Roman" w:hAnsi="Times New Roman"/>
      <w:b/>
      <w:bCs/>
      <w:kern w:val="36"/>
      <w:sz w:val="48"/>
      <w:szCs w:val="48"/>
    </w:rPr>
  </w:style>
  <w:style w:type="paragraph" w:styleId="NormalWeb">
    <w:name w:val="Normal (Web)"/>
    <w:basedOn w:val="Normal"/>
    <w:uiPriority w:val="99"/>
    <w:unhideWhenUsed/>
    <w:rsid w:val="009F5573"/>
    <w:pPr>
      <w:spacing w:before="100" w:beforeAutospacing="1" w:after="100" w:afterAutospacing="1"/>
    </w:pPr>
    <w:rPr>
      <w:rFonts w:ascii="Times New Roman" w:eastAsia="Times New Roman" w:hAnsi="Times New Roman"/>
    </w:rPr>
  </w:style>
  <w:style w:type="paragraph" w:customStyle="1" w:styleId="CharCharCharCharCharCharCharCharChar1Char">
    <w:name w:val="Char Char Char Char Char Char Char Char Char1 Char"/>
    <w:basedOn w:val="Normal"/>
    <w:rsid w:val="009F5573"/>
    <w:pPr>
      <w:spacing w:after="160" w:line="240" w:lineRule="exact"/>
    </w:pPr>
    <w:rPr>
      <w:rFonts w:ascii="Arial" w:eastAsia="Times New Roman" w:hAnsi="Arial" w:cs="Arial"/>
      <w:sz w:val="20"/>
      <w:szCs w:val="20"/>
    </w:rPr>
  </w:style>
  <w:style w:type="character" w:styleId="Emphasis">
    <w:name w:val="Emphasis"/>
    <w:basedOn w:val="DefaultParagraphFont"/>
    <w:uiPriority w:val="20"/>
    <w:qFormat/>
    <w:rsid w:val="00D11FFC"/>
    <w:rPr>
      <w:i/>
      <w:iCs/>
    </w:rPr>
  </w:style>
  <w:style w:type="character" w:styleId="Strong">
    <w:name w:val="Strong"/>
    <w:basedOn w:val="DefaultParagraphFont"/>
    <w:uiPriority w:val="22"/>
    <w:qFormat/>
    <w:rsid w:val="00F81EA1"/>
    <w:rPr>
      <w:b/>
      <w:bCs/>
    </w:rPr>
  </w:style>
  <w:style w:type="character" w:customStyle="1" w:styleId="Heading2Char">
    <w:name w:val="Heading 2 Char"/>
    <w:basedOn w:val="DefaultParagraphFont"/>
    <w:link w:val="Heading2"/>
    <w:uiPriority w:val="9"/>
    <w:semiHidden/>
    <w:rsid w:val="00F81EA1"/>
    <w:rPr>
      <w:rFonts w:ascii="Cambria" w:eastAsia="Times New Roman" w:hAnsi="Cambria" w:cs="Times New Roman"/>
      <w:b/>
      <w:bCs/>
      <w:i/>
      <w:iCs/>
      <w:sz w:val="28"/>
      <w:szCs w:val="28"/>
    </w:rPr>
  </w:style>
  <w:style w:type="paragraph" w:styleId="PlainText">
    <w:name w:val="Plain Text"/>
    <w:basedOn w:val="Normal"/>
    <w:link w:val="PlainTextChar"/>
    <w:uiPriority w:val="99"/>
    <w:semiHidden/>
    <w:unhideWhenUsed/>
    <w:rsid w:val="00FA0B46"/>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A0B46"/>
    <w:rPr>
      <w:rFonts w:ascii="Courier New" w:eastAsia="Cambria" w:hAnsi="Courier New" w:cs="Courier New"/>
    </w:rPr>
  </w:style>
  <w:style w:type="character" w:styleId="FollowedHyperlink">
    <w:name w:val="FollowedHyperlink"/>
    <w:basedOn w:val="DefaultParagraphFont"/>
    <w:uiPriority w:val="99"/>
    <w:semiHidden/>
    <w:unhideWhenUsed/>
    <w:rsid w:val="003524B9"/>
    <w:rPr>
      <w:color w:val="800080"/>
      <w:u w:val="single"/>
    </w:rPr>
  </w:style>
  <w:style w:type="paragraph" w:styleId="Header">
    <w:name w:val="header"/>
    <w:basedOn w:val="Normal"/>
    <w:rsid w:val="00AF6D27"/>
    <w:pPr>
      <w:tabs>
        <w:tab w:val="center" w:pos="4320"/>
        <w:tab w:val="right" w:pos="8640"/>
      </w:tabs>
    </w:pPr>
  </w:style>
  <w:style w:type="paragraph" w:styleId="Footer">
    <w:name w:val="footer"/>
    <w:basedOn w:val="Normal"/>
    <w:link w:val="FooterChar"/>
    <w:uiPriority w:val="99"/>
    <w:rsid w:val="00AF6D27"/>
    <w:pPr>
      <w:tabs>
        <w:tab w:val="center" w:pos="4320"/>
        <w:tab w:val="right" w:pos="8640"/>
      </w:tabs>
    </w:pPr>
  </w:style>
  <w:style w:type="character" w:customStyle="1" w:styleId="FooterChar">
    <w:name w:val="Footer Char"/>
    <w:basedOn w:val="DefaultParagraphFont"/>
    <w:link w:val="Footer"/>
    <w:uiPriority w:val="99"/>
    <w:rsid w:val="003C2D73"/>
    <w:rPr>
      <w:rFonts w:ascii="Cambria" w:eastAsia="Cambria" w:hAnsi="Cambria"/>
      <w:sz w:val="24"/>
      <w:szCs w:val="24"/>
    </w:rPr>
  </w:style>
  <w:style w:type="paragraph" w:styleId="ListParagraph">
    <w:name w:val="List Paragraph"/>
    <w:basedOn w:val="Normal"/>
    <w:qFormat/>
    <w:rsid w:val="00AA0B3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1131</Words>
  <Characters>6451</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INEE Thematic Issue Brief: Youth</vt:lpstr>
    </vt:vector>
  </TitlesOfParts>
  <Company>Columbia University</Company>
  <LinksUpToDate>false</LinksUpToDate>
  <CharactersWithSpaces>7567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INEE Thematic Issue Brief: Youth</dc:title>
  <dc:creator>Joshua Chaffin</dc:creator>
  <cp:lastModifiedBy>Education MENARO</cp:lastModifiedBy>
  <cp:revision>5</cp:revision>
  <cp:lastPrinted>2010-02-18T09:34:00Z</cp:lastPrinted>
  <dcterms:created xsi:type="dcterms:W3CDTF">2015-12-28T22:13:00Z</dcterms:created>
  <dcterms:modified xsi:type="dcterms:W3CDTF">2016-04-07T13:29:00Z</dcterms:modified>
</cp:coreProperties>
</file>