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CDF" w:rsidRDefault="002E2CDF" w:rsidP="006418E2">
      <w:pPr>
        <w:jc w:val="center"/>
        <w:rPr>
          <w:b/>
          <w:sz w:val="22"/>
          <w:szCs w:val="22"/>
          <w:lang w:val="en-GB"/>
        </w:rPr>
      </w:pPr>
      <w:bookmarkStart w:id="0" w:name="_GoBack"/>
      <w:bookmarkEnd w:id="0"/>
    </w:p>
    <w:p w:rsidR="002E2CDF" w:rsidRPr="008823CB" w:rsidRDefault="002E2CDF" w:rsidP="008823CB">
      <w:pPr>
        <w:jc w:val="center"/>
        <w:rPr>
          <w:bCs/>
          <w:sz w:val="22"/>
          <w:szCs w:val="22"/>
          <w:rtl/>
          <w:lang w:val="en-GB" w:bidi="ar-JO"/>
        </w:rPr>
      </w:pPr>
      <w:r w:rsidRPr="008823CB">
        <w:rPr>
          <w:rFonts w:hint="cs"/>
          <w:bCs/>
          <w:sz w:val="22"/>
          <w:szCs w:val="22"/>
          <w:rtl/>
          <w:lang w:val="en-GB" w:bidi="ar-JO"/>
        </w:rPr>
        <w:t xml:space="preserve">اللجنة الدائمة المشتركة بين </w:t>
      </w:r>
      <w:r w:rsidR="008823CB" w:rsidRPr="008823CB">
        <w:rPr>
          <w:rFonts w:hint="cs"/>
          <w:bCs/>
          <w:sz w:val="22"/>
          <w:szCs w:val="22"/>
          <w:rtl/>
          <w:lang w:val="en-GB" w:bidi="ar-JO"/>
        </w:rPr>
        <w:t>وكالات الأمم المتحدة</w:t>
      </w:r>
      <w:r w:rsidRPr="008823CB">
        <w:rPr>
          <w:rFonts w:hint="cs"/>
          <w:bCs/>
          <w:sz w:val="22"/>
          <w:szCs w:val="22"/>
          <w:rtl/>
          <w:lang w:val="en-GB" w:bidi="ar-JO"/>
        </w:rPr>
        <w:t xml:space="preserve"> </w:t>
      </w:r>
      <w:r w:rsidRPr="008823CB">
        <w:rPr>
          <w:bCs/>
          <w:sz w:val="22"/>
          <w:szCs w:val="22"/>
          <w:rtl/>
          <w:lang w:val="en-GB" w:bidi="ar-JO"/>
        </w:rPr>
        <w:t>–</w:t>
      </w:r>
      <w:r w:rsidRPr="008823CB">
        <w:rPr>
          <w:rFonts w:hint="cs"/>
          <w:bCs/>
          <w:sz w:val="22"/>
          <w:szCs w:val="22"/>
          <w:rtl/>
          <w:lang w:val="en-GB" w:bidi="ar-JO"/>
        </w:rPr>
        <w:t xml:space="preserve"> شروط مرجعية عامة لقادة المجموعات التنسيقية</w:t>
      </w:r>
    </w:p>
    <w:p w:rsidR="002E2CDF" w:rsidRDefault="002E2CDF" w:rsidP="006418E2">
      <w:pPr>
        <w:jc w:val="both"/>
        <w:rPr>
          <w:b/>
          <w:sz w:val="22"/>
          <w:szCs w:val="22"/>
          <w:rtl/>
          <w:lang w:val="en-GB" w:bidi="ar-JO"/>
        </w:rPr>
      </w:pPr>
    </w:p>
    <w:p w:rsidR="008823CB" w:rsidRDefault="008823CB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8823CB" w:rsidRDefault="008823CB" w:rsidP="008823CB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2E2CDF" w:rsidRPr="00D95F21" w:rsidRDefault="008823CB" w:rsidP="008823CB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D95F21">
        <w:rPr>
          <w:rFonts w:hint="cs"/>
          <w:bCs/>
          <w:sz w:val="22"/>
          <w:szCs w:val="22"/>
          <w:rtl/>
          <w:lang w:val="en-GB" w:bidi="ar-JO"/>
        </w:rPr>
        <w:t>إشراك</w:t>
      </w:r>
      <w:r w:rsidR="002E2CDF" w:rsidRPr="00D95F21">
        <w:rPr>
          <w:rFonts w:hint="cs"/>
          <w:bCs/>
          <w:sz w:val="22"/>
          <w:szCs w:val="22"/>
          <w:rtl/>
          <w:lang w:val="en-GB" w:bidi="ar-JO"/>
        </w:rPr>
        <w:t xml:space="preserve"> الشركاء الرئيسيين من مجال الإغاثة الإنسانية</w:t>
      </w:r>
    </w:p>
    <w:p w:rsidR="002E2CDF" w:rsidRDefault="002E2CDF" w:rsidP="008823CB">
      <w:pPr>
        <w:numPr>
          <w:ilvl w:val="0"/>
          <w:numId w:val="2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ضمان </w:t>
      </w:r>
      <w:r w:rsidR="008823CB">
        <w:rPr>
          <w:rFonts w:hint="cs"/>
          <w:b/>
          <w:sz w:val="22"/>
          <w:szCs w:val="22"/>
          <w:rtl/>
          <w:lang w:val="en-GB" w:bidi="ar-JO"/>
        </w:rPr>
        <w:t>إشراك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الشركاء الرئيسيين في مجال الإغاثة الإنسانية في القطاع</w:t>
      </w:r>
      <w:r w:rsidR="008823CB">
        <w:rPr>
          <w:rFonts w:hint="cs"/>
          <w:b/>
          <w:sz w:val="22"/>
          <w:szCs w:val="22"/>
          <w:rtl/>
          <w:lang w:val="en-GB" w:bidi="ar-JO"/>
        </w:rPr>
        <w:t>،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واحترام </w:t>
      </w:r>
      <w:r w:rsidR="008823CB">
        <w:rPr>
          <w:rFonts w:hint="cs"/>
          <w:b/>
          <w:sz w:val="22"/>
          <w:szCs w:val="22"/>
          <w:rtl/>
          <w:lang w:val="en-GB" w:bidi="ar-JO"/>
        </w:rPr>
        <w:t>تكليف كل منهم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وأولويات برامجهم.</w:t>
      </w:r>
    </w:p>
    <w:p w:rsidR="002E2CDF" w:rsidRDefault="002E2CDF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2E2CDF" w:rsidRDefault="002E2CDF" w:rsidP="008823CB">
      <w:pPr>
        <w:bidi/>
        <w:jc w:val="both"/>
        <w:rPr>
          <w:b/>
          <w:sz w:val="22"/>
          <w:szCs w:val="22"/>
          <w:rtl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إنشاء آليات </w:t>
      </w:r>
      <w:r w:rsidR="008823CB">
        <w:rPr>
          <w:rFonts w:hint="cs"/>
          <w:b/>
          <w:sz w:val="22"/>
          <w:szCs w:val="22"/>
          <w:rtl/>
          <w:lang w:val="en-GB" w:bidi="ar-JO"/>
        </w:rPr>
        <w:t>للتنسيق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مع جهات الإغاثة الإنسانية المناسبة والحفاظ عليها</w:t>
      </w:r>
    </w:p>
    <w:p w:rsidR="00D46463" w:rsidRPr="00D95F21" w:rsidRDefault="002E2CDF" w:rsidP="00D95F21">
      <w:pPr>
        <w:numPr>
          <w:ilvl w:val="0"/>
          <w:numId w:val="2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</w:t>
      </w:r>
      <w:r w:rsidR="008823CB">
        <w:rPr>
          <w:rFonts w:hint="cs"/>
          <w:b/>
          <w:sz w:val="22"/>
          <w:szCs w:val="22"/>
          <w:rtl/>
          <w:lang w:val="en-GB" w:bidi="ar-JO"/>
        </w:rPr>
        <w:t xml:space="preserve"> وجود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التنسيق المناسب مع جميع الشركاء العاملين في </w:t>
      </w:r>
      <w:r w:rsidR="008823CB">
        <w:rPr>
          <w:rFonts w:hint="cs"/>
          <w:b/>
          <w:sz w:val="22"/>
          <w:szCs w:val="22"/>
          <w:rtl/>
          <w:lang w:val="en-GB" w:bidi="ar-JO"/>
        </w:rPr>
        <w:t>مجال الإغاثة الإنسانية (بما فيهم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المنظمات </w:t>
      </w:r>
      <w:r w:rsidR="008823CB">
        <w:rPr>
          <w:rFonts w:hint="cs"/>
          <w:b/>
          <w:sz w:val="22"/>
          <w:szCs w:val="22"/>
          <w:rtl/>
          <w:lang w:val="en-GB" w:bidi="ar-JO"/>
        </w:rPr>
        <w:t>غير الحكومية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المحلية والدولية، الحركة الدولية للصليب الأحمر/ الهلال الأحمر</w:t>
      </w:r>
      <w:r w:rsidR="00D95F21">
        <w:rPr>
          <w:rFonts w:hint="cs"/>
          <w:b/>
          <w:sz w:val="22"/>
          <w:szCs w:val="22"/>
          <w:rtl/>
          <w:lang w:val="en-GB" w:bidi="ar-JO"/>
        </w:rPr>
        <w:t xml:space="preserve">) </w:t>
      </w:r>
      <w:r w:rsidR="00D46463" w:rsidRPr="00D95F21">
        <w:rPr>
          <w:rFonts w:hint="cs"/>
          <w:b/>
          <w:sz w:val="22"/>
          <w:szCs w:val="22"/>
          <w:rtl/>
          <w:lang w:val="en-GB" w:bidi="ar-JO"/>
        </w:rPr>
        <w:t xml:space="preserve">من خلال إنشاء آليات تنسيق قطاعية ملائمة والحفاظ عليها، </w:t>
      </w:r>
      <w:r w:rsidR="00D95F21">
        <w:rPr>
          <w:rFonts w:hint="cs"/>
          <w:b/>
          <w:sz w:val="22"/>
          <w:szCs w:val="22"/>
          <w:rtl/>
          <w:lang w:val="en-GB" w:bidi="ar-JO"/>
        </w:rPr>
        <w:t>وآليات تنسيق على</w:t>
      </w:r>
      <w:r w:rsidR="00D46463" w:rsidRPr="00D95F21">
        <w:rPr>
          <w:rFonts w:hint="cs"/>
          <w:b/>
          <w:sz w:val="22"/>
          <w:szCs w:val="22"/>
          <w:rtl/>
          <w:lang w:val="en-GB" w:bidi="ar-JO"/>
        </w:rPr>
        <w:t xml:space="preserve"> المستو</w:t>
      </w:r>
      <w:r w:rsidR="00D95F21">
        <w:rPr>
          <w:rFonts w:hint="cs"/>
          <w:b/>
          <w:sz w:val="22"/>
          <w:szCs w:val="22"/>
          <w:rtl/>
          <w:lang w:val="en-GB" w:bidi="ar-JO"/>
        </w:rPr>
        <w:t>ى</w:t>
      </w:r>
      <w:r w:rsidR="00D46463" w:rsidRPr="00D95F21">
        <w:rPr>
          <w:rFonts w:hint="cs"/>
          <w:b/>
          <w:sz w:val="22"/>
          <w:szCs w:val="22"/>
          <w:rtl/>
          <w:lang w:val="en-GB" w:bidi="ar-JO"/>
        </w:rPr>
        <w:t xml:space="preserve"> المحلي عند الضرورة</w:t>
      </w:r>
      <w:r w:rsidR="00D95F21">
        <w:rPr>
          <w:rFonts w:hint="cs"/>
          <w:b/>
          <w:sz w:val="22"/>
          <w:szCs w:val="22"/>
          <w:rtl/>
          <w:lang w:val="en-GB" w:bidi="ar-JO"/>
        </w:rPr>
        <w:t>؛</w:t>
      </w:r>
    </w:p>
    <w:p w:rsidR="00D46463" w:rsidRDefault="00B465E2" w:rsidP="00D95F21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تأمين التزام جميع الشركاء في مجال الإغاثة الإنسانية </w:t>
      </w:r>
      <w:r w:rsidR="00D95F21">
        <w:rPr>
          <w:rFonts w:hint="cs"/>
          <w:b/>
          <w:sz w:val="22"/>
          <w:szCs w:val="22"/>
          <w:rtl/>
          <w:lang w:val="en-GB" w:bidi="ar-JO"/>
        </w:rPr>
        <w:t>بتلبية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D95F21">
        <w:rPr>
          <w:rFonts w:hint="cs"/>
          <w:b/>
          <w:sz w:val="22"/>
          <w:szCs w:val="22"/>
          <w:rtl/>
          <w:lang w:val="en-GB" w:bidi="ar-JO"/>
        </w:rPr>
        <w:t>الاحتياجات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D95F21">
        <w:rPr>
          <w:rFonts w:hint="cs"/>
          <w:b/>
          <w:sz w:val="22"/>
          <w:szCs w:val="22"/>
          <w:rtl/>
          <w:lang w:val="en-GB" w:bidi="ar-JO"/>
        </w:rPr>
        <w:t>وسد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الفجوات، وضمان توزيع المسئوليات بشكل ملائم ضمن المجموعات القطاعية، وتحديد ضباط ارتباط لقضايا محددة عند الضرورة</w:t>
      </w:r>
      <w:r w:rsidR="00D95F21">
        <w:rPr>
          <w:rFonts w:hint="cs"/>
          <w:b/>
          <w:sz w:val="22"/>
          <w:szCs w:val="22"/>
          <w:rtl/>
          <w:lang w:val="en-GB" w:bidi="ar-JO"/>
        </w:rPr>
        <w:t>؛</w:t>
      </w:r>
    </w:p>
    <w:p w:rsidR="00B465E2" w:rsidRDefault="00B465E2" w:rsidP="006418E2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التكامل بين أعمال الجهات الفاعلة المختلفة في مجال الإغاثة الإنسانية؛</w:t>
      </w:r>
    </w:p>
    <w:p w:rsidR="00B465E2" w:rsidRDefault="00B465E2" w:rsidP="006418E2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تعزيز نشاطات الاستجابة لحالات الطوارئ والتفكير في الحاجة للتخطيط للتعافي المبكر والمخاوف المتعلقة بالوقاية والحد من المخاطر؛</w:t>
      </w:r>
    </w:p>
    <w:p w:rsidR="00B465E2" w:rsidRDefault="00B465E2" w:rsidP="006418E2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وجود صلات فاعلة مع المجموعات القطاعية الأخرى؛</w:t>
      </w:r>
    </w:p>
    <w:p w:rsidR="00B465E2" w:rsidRDefault="00B465E2" w:rsidP="00D95F21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تكييف آ</w:t>
      </w:r>
      <w:r w:rsidR="00D95F21">
        <w:rPr>
          <w:rFonts w:hint="cs"/>
          <w:b/>
          <w:sz w:val="22"/>
          <w:szCs w:val="22"/>
          <w:rtl/>
          <w:lang w:val="en-GB" w:bidi="ar-JO"/>
        </w:rPr>
        <w:t>ل</w:t>
      </w:r>
      <w:r>
        <w:rPr>
          <w:rFonts w:hint="cs"/>
          <w:b/>
          <w:sz w:val="22"/>
          <w:szCs w:val="22"/>
          <w:rtl/>
          <w:lang w:val="en-GB" w:bidi="ar-JO"/>
        </w:rPr>
        <w:t xml:space="preserve">يات التنسيق القطاعية مع مرور الوقت لتعكس قدرات الجهات الفاعلة المحلية </w:t>
      </w:r>
      <w:r w:rsidR="00D95F21">
        <w:rPr>
          <w:rFonts w:hint="cs"/>
          <w:b/>
          <w:sz w:val="22"/>
          <w:szCs w:val="22"/>
          <w:rtl/>
          <w:lang w:val="en-GB" w:bidi="ar-JO"/>
        </w:rPr>
        <w:t>وتشمل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الشركاء في مجال التنمية؛</w:t>
      </w:r>
    </w:p>
    <w:p w:rsidR="00B465E2" w:rsidRDefault="00B465E2" w:rsidP="001356D6">
      <w:pPr>
        <w:pStyle w:val="ListParagraph"/>
        <w:numPr>
          <w:ilvl w:val="0"/>
          <w:numId w:val="3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تمثيل مصالح المجموعات القطاعية في النقاشات مع </w:t>
      </w:r>
      <w:r w:rsidR="00D95F21">
        <w:rPr>
          <w:rFonts w:hint="cs"/>
          <w:b/>
          <w:sz w:val="22"/>
          <w:szCs w:val="22"/>
          <w:rtl/>
          <w:lang w:val="en-GB" w:bidi="ar-JO"/>
        </w:rPr>
        <w:t xml:space="preserve">منسق </w:t>
      </w:r>
      <w:r w:rsidR="001356D6">
        <w:rPr>
          <w:rFonts w:hint="cs"/>
          <w:b/>
          <w:sz w:val="22"/>
          <w:szCs w:val="22"/>
          <w:rtl/>
          <w:lang w:val="en-GB" w:bidi="ar-JO"/>
        </w:rPr>
        <w:t>الشؤون الإنسانية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1356D6">
        <w:rPr>
          <w:rFonts w:hint="cs"/>
          <w:b/>
          <w:sz w:val="22"/>
          <w:szCs w:val="22"/>
          <w:rtl/>
          <w:lang w:val="en-GB" w:bidi="ar-JO"/>
        </w:rPr>
        <w:t>وأصحاب الشأن الآخرين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D95F21">
        <w:rPr>
          <w:rFonts w:hint="cs"/>
          <w:b/>
          <w:sz w:val="22"/>
          <w:szCs w:val="22"/>
          <w:rtl/>
          <w:lang w:val="en-GB" w:bidi="ar-JO"/>
        </w:rPr>
        <w:t>من أجل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ترتيب الأولويات وحشد الموارد والمناصرة.</w:t>
      </w:r>
    </w:p>
    <w:p w:rsidR="00D95F21" w:rsidRDefault="00D95F21" w:rsidP="00D95F21">
      <w:pPr>
        <w:pStyle w:val="ListParagraph"/>
        <w:bidi/>
        <w:jc w:val="both"/>
        <w:rPr>
          <w:b/>
          <w:sz w:val="22"/>
          <w:szCs w:val="22"/>
          <w:lang w:val="en-GB" w:bidi="ar-JO"/>
        </w:rPr>
      </w:pPr>
    </w:p>
    <w:p w:rsidR="00B465E2" w:rsidRDefault="00B465E2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>
        <w:rPr>
          <w:rFonts w:hint="cs"/>
          <w:bCs/>
          <w:sz w:val="22"/>
          <w:szCs w:val="22"/>
          <w:rtl/>
          <w:lang w:val="en-GB" w:bidi="ar-JO"/>
        </w:rPr>
        <w:t>التنسيق مع السلطات المحلية/ الوطنية، ومؤسسات الدولة ومنظمات المجتمع المدني المحلية والجهات الفاعلة الأخرى ذات العلاقة</w:t>
      </w:r>
    </w:p>
    <w:p w:rsidR="00BC29A3" w:rsidRDefault="00BC29A3" w:rsidP="006418E2">
      <w:pPr>
        <w:pStyle w:val="ListParagraph"/>
        <w:numPr>
          <w:ilvl w:val="0"/>
          <w:numId w:val="4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أن تبني الاستجابات الإنسانية على القدرات المحلية؛</w:t>
      </w:r>
    </w:p>
    <w:p w:rsidR="00BC29A3" w:rsidRDefault="00BC29A3" w:rsidP="006418E2">
      <w:pPr>
        <w:pStyle w:val="ListParagraph"/>
        <w:numPr>
          <w:ilvl w:val="0"/>
          <w:numId w:val="4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وجود صلات ملائمة مع السلطات المحلية والوطنية، مؤسسات الدولة، المجتمع المدني المحلي والجهات الفاعلة الأخرى (مثال: قوات حفظ السلام) وضمان التنسيق وتبادل المعلومات معهم بالشكل المناسب.</w:t>
      </w:r>
    </w:p>
    <w:p w:rsidR="00BC29A3" w:rsidRDefault="00BC29A3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BC29A3" w:rsidRDefault="007C1D75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>
        <w:rPr>
          <w:rFonts w:hint="cs"/>
          <w:bCs/>
          <w:sz w:val="22"/>
          <w:szCs w:val="22"/>
          <w:rtl/>
          <w:lang w:val="en-GB" w:bidi="ar-JO"/>
        </w:rPr>
        <w:t>المقاربة</w:t>
      </w:r>
      <w:r w:rsidR="00BC29A3" w:rsidRPr="00BC29A3">
        <w:rPr>
          <w:rFonts w:hint="cs"/>
          <w:bCs/>
          <w:sz w:val="22"/>
          <w:szCs w:val="22"/>
          <w:rtl/>
          <w:lang w:val="en-GB" w:bidi="ar-JO"/>
        </w:rPr>
        <w:t xml:space="preserve"> التشاركية والمجتمعية</w:t>
      </w:r>
    </w:p>
    <w:p w:rsidR="00BC29A3" w:rsidRDefault="00BC29A3" w:rsidP="007C1D75">
      <w:pPr>
        <w:bidi/>
        <w:jc w:val="both"/>
        <w:rPr>
          <w:b/>
          <w:sz w:val="22"/>
          <w:szCs w:val="22"/>
          <w:rtl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ضمان استخدام </w:t>
      </w:r>
      <w:r w:rsidR="007C1D75">
        <w:rPr>
          <w:rFonts w:hint="cs"/>
          <w:b/>
          <w:sz w:val="22"/>
          <w:szCs w:val="22"/>
          <w:rtl/>
          <w:lang w:val="en-GB" w:bidi="ar-JO"/>
        </w:rPr>
        <w:t>المقاربات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التشاركية والمجتمع</w:t>
      </w:r>
      <w:r w:rsidR="00921E74">
        <w:rPr>
          <w:rFonts w:hint="cs"/>
          <w:b/>
          <w:sz w:val="22"/>
          <w:szCs w:val="22"/>
          <w:rtl/>
          <w:lang w:val="en-GB" w:bidi="ar-JO"/>
        </w:rPr>
        <w:t>ية في تقييم الاحتياجات القطاعية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وعمليات التحليل والتخطيط والمتابعة والاستجابة. </w:t>
      </w:r>
    </w:p>
    <w:p w:rsidR="00BC29A3" w:rsidRDefault="00BC29A3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BC29A3" w:rsidRPr="00921E74" w:rsidRDefault="00921E74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>
        <w:rPr>
          <w:rFonts w:hint="cs"/>
          <w:bCs/>
          <w:sz w:val="22"/>
          <w:szCs w:val="22"/>
          <w:rtl/>
          <w:lang w:val="en-GB" w:bidi="ar-JO"/>
        </w:rPr>
        <w:t>الاهتمام</w:t>
      </w:r>
      <w:r w:rsidR="00BC29A3" w:rsidRPr="00921E74">
        <w:rPr>
          <w:rFonts w:hint="cs"/>
          <w:bCs/>
          <w:sz w:val="22"/>
          <w:szCs w:val="22"/>
          <w:rtl/>
          <w:lang w:val="en-GB" w:bidi="ar-JO"/>
        </w:rPr>
        <w:t xml:space="preserve"> </w:t>
      </w:r>
      <w:r>
        <w:rPr>
          <w:rFonts w:hint="cs"/>
          <w:bCs/>
          <w:sz w:val="22"/>
          <w:szCs w:val="22"/>
          <w:rtl/>
          <w:lang w:val="en-GB" w:bidi="ar-JO"/>
        </w:rPr>
        <w:t>ب</w:t>
      </w:r>
      <w:r w:rsidR="00BC29A3" w:rsidRPr="00921E74">
        <w:rPr>
          <w:rFonts w:hint="cs"/>
          <w:bCs/>
          <w:sz w:val="22"/>
          <w:szCs w:val="22"/>
          <w:rtl/>
          <w:lang w:val="en-GB" w:bidi="ar-JO"/>
        </w:rPr>
        <w:t>القضايا المشتركة ذات الأولوية</w:t>
      </w:r>
    </w:p>
    <w:p w:rsidR="00BC29A3" w:rsidRDefault="00BC29A3" w:rsidP="00921E74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دمج القضايا المشتركة ذات الأولوية، وفي عمليات التحليل والتخطيط والمتابعة والاستجابة (مثال: السن والتنوع والبيئة والنوع الاجتماعي وفيروس نقص المناعة البشرية/ الإيدز</w:t>
      </w:r>
      <w:r>
        <w:rPr>
          <w:b/>
          <w:sz w:val="22"/>
          <w:szCs w:val="22"/>
          <w:lang w:val="de-DE" w:bidi="ar-JO"/>
        </w:rPr>
        <w:t xml:space="preserve"> 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وحقوق الإنسان)، والمساهمة في تطوير استراتي</w:t>
      </w:r>
      <w:r w:rsidR="00921E74">
        <w:rPr>
          <w:rFonts w:hint="cs"/>
          <w:b/>
          <w:sz w:val="22"/>
          <w:szCs w:val="22"/>
          <w:rtl/>
          <w:lang w:val="en-GB" w:bidi="ar-JO"/>
        </w:rPr>
        <w:t>جيات ملائمة للتصدي لهذه القضايا. كما يجب العمل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على </w:t>
      </w:r>
      <w:r w:rsidR="00A13E09">
        <w:rPr>
          <w:rFonts w:hint="cs"/>
          <w:b/>
          <w:sz w:val="22"/>
          <w:szCs w:val="22"/>
          <w:rtl/>
          <w:lang w:val="en-GB" w:bidi="ar-JO"/>
        </w:rPr>
        <w:t>ضمان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 وجود</w:t>
      </w:r>
      <w:r w:rsidR="00A13E09">
        <w:rPr>
          <w:rFonts w:hint="cs"/>
          <w:b/>
          <w:sz w:val="22"/>
          <w:szCs w:val="22"/>
          <w:rtl/>
          <w:lang w:val="en-GB" w:bidi="ar-JO"/>
        </w:rPr>
        <w:t xml:space="preserve"> برامج تراعي النوع الاجتماعي وتعزز المساواة بين الجنسين، </w:t>
      </w:r>
      <w:r w:rsidR="00921E74">
        <w:rPr>
          <w:rFonts w:hint="cs"/>
          <w:b/>
          <w:sz w:val="22"/>
          <w:szCs w:val="22"/>
          <w:rtl/>
          <w:lang w:val="en-GB" w:bidi="ar-JO"/>
        </w:rPr>
        <w:t>والتأكد من</w:t>
      </w:r>
      <w:r w:rsidR="00A13E09">
        <w:rPr>
          <w:rFonts w:hint="cs"/>
          <w:b/>
          <w:sz w:val="22"/>
          <w:szCs w:val="22"/>
          <w:rtl/>
          <w:lang w:val="en-GB" w:bidi="ar-JO"/>
        </w:rPr>
        <w:t xml:space="preserve"> التصدي لاحتياجات ومساهمات وقدرات النساء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 والفتيات وكذلك الرجال والفتيان.</w:t>
      </w:r>
    </w:p>
    <w:p w:rsidR="00921E74" w:rsidRDefault="00921E74" w:rsidP="00921E74">
      <w:pPr>
        <w:pStyle w:val="ListParagraph"/>
        <w:bidi/>
        <w:jc w:val="both"/>
        <w:rPr>
          <w:b/>
          <w:sz w:val="22"/>
          <w:szCs w:val="22"/>
          <w:lang w:val="en-GB" w:bidi="ar-JO"/>
        </w:rPr>
      </w:pPr>
    </w:p>
    <w:p w:rsidR="00A13E09" w:rsidRPr="00921E74" w:rsidRDefault="00A13E09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تقييم الاحتياجات والتحليل</w:t>
      </w:r>
    </w:p>
    <w:p w:rsidR="00A13E09" w:rsidRDefault="00A13E09" w:rsidP="006418E2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تقييم وتحليل مترابط للاحتياجات القطاعية، التي تتضمن جميع الشركاء ذوي العلاقة.</w:t>
      </w:r>
    </w:p>
    <w:p w:rsidR="00A13E09" w:rsidRDefault="00A13E09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A13E09" w:rsidRPr="00921E74" w:rsidRDefault="00A13E09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الجهوزية لحالات الطوارئ</w:t>
      </w:r>
    </w:p>
    <w:p w:rsidR="00A13E09" w:rsidRDefault="00A13E09" w:rsidP="006418E2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وضع خطط رديفة و</w:t>
      </w:r>
      <w:r w:rsidR="00921E74">
        <w:rPr>
          <w:rFonts w:hint="cs"/>
          <w:b/>
          <w:sz w:val="22"/>
          <w:szCs w:val="22"/>
          <w:rtl/>
          <w:lang w:val="en-GB" w:bidi="ar-JO"/>
        </w:rPr>
        <w:t>خطط للجهوزية لحالات الطوارئ.</w:t>
      </w:r>
    </w:p>
    <w:p w:rsidR="00A13E09" w:rsidRDefault="00A13E09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A13E09" w:rsidRPr="00921E74" w:rsidRDefault="00A13E09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التخطيط وتطوير الاستراتيجيات</w:t>
      </w:r>
    </w:p>
    <w:p w:rsidR="00A13E09" w:rsidRDefault="00A13E09" w:rsidP="00921E74">
      <w:pPr>
        <w:bidi/>
        <w:jc w:val="both"/>
        <w:rPr>
          <w:b/>
          <w:sz w:val="22"/>
          <w:szCs w:val="22"/>
          <w:rtl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ضمان وجود نشاطات يمكن التنبؤ بها ضمن المجموعة القطاعية </w:t>
      </w:r>
      <w:r w:rsidR="00921E74">
        <w:rPr>
          <w:rFonts w:hint="cs"/>
          <w:b/>
          <w:sz w:val="22"/>
          <w:szCs w:val="22"/>
          <w:rtl/>
          <w:lang w:val="en-GB" w:bidi="ar-JO"/>
        </w:rPr>
        <w:t>من أجل</w:t>
      </w:r>
      <w:r>
        <w:rPr>
          <w:rFonts w:hint="cs"/>
          <w:b/>
          <w:sz w:val="22"/>
          <w:szCs w:val="22"/>
          <w:rtl/>
          <w:lang w:val="en-GB" w:bidi="ar-JO"/>
        </w:rPr>
        <w:t xml:space="preserve">: </w:t>
      </w:r>
    </w:p>
    <w:p w:rsidR="00A13E09" w:rsidRDefault="00A13E09" w:rsidP="006418E2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تحديد الفجوات</w:t>
      </w:r>
    </w:p>
    <w:p w:rsidR="00A13E09" w:rsidRDefault="00A13E09" w:rsidP="00921E74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تطوير/ تحديث استراتيجيات ال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استجابة المتفق عليها ووضع خطط </w:t>
      </w:r>
      <w:r>
        <w:rPr>
          <w:rFonts w:hint="cs"/>
          <w:b/>
          <w:sz w:val="22"/>
          <w:szCs w:val="22"/>
          <w:rtl/>
          <w:lang w:val="en-GB" w:bidi="ar-JO"/>
        </w:rPr>
        <w:t xml:space="preserve">عمل </w:t>
      </w:r>
      <w:r w:rsidR="00921E74">
        <w:rPr>
          <w:rFonts w:hint="cs"/>
          <w:b/>
          <w:sz w:val="22"/>
          <w:szCs w:val="22"/>
          <w:rtl/>
          <w:lang w:val="en-GB" w:bidi="ar-JO"/>
        </w:rPr>
        <w:t>القطاع،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وضمان انعكاسها </w:t>
      </w:r>
      <w:r w:rsidR="00921E74">
        <w:rPr>
          <w:rFonts w:hint="cs"/>
          <w:b/>
          <w:sz w:val="22"/>
          <w:szCs w:val="22"/>
          <w:rtl/>
          <w:lang w:val="en-GB" w:bidi="ar-JO"/>
        </w:rPr>
        <w:t>بالشكل اللازم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في الاستراتيجيات القطرية الكلية، </w:t>
      </w:r>
      <w:r w:rsidR="00921E74">
        <w:rPr>
          <w:rFonts w:hint="cs"/>
          <w:b/>
          <w:sz w:val="22"/>
          <w:szCs w:val="22"/>
          <w:rtl/>
          <w:lang w:val="en-GB" w:bidi="ar-JO"/>
        </w:rPr>
        <w:t>ك</w:t>
      </w:r>
      <w:r>
        <w:rPr>
          <w:rFonts w:hint="cs"/>
          <w:b/>
          <w:sz w:val="22"/>
          <w:szCs w:val="22"/>
          <w:rtl/>
          <w:lang w:val="en-GB" w:bidi="ar-JO"/>
        </w:rPr>
        <w:t>خطة العمل الإنسانية المشتركة (</w:t>
      </w:r>
      <w:r w:rsidRPr="00930CD5">
        <w:rPr>
          <w:sz w:val="22"/>
          <w:szCs w:val="22"/>
          <w:lang w:val="en-GB"/>
        </w:rPr>
        <w:t>CHAP</w:t>
      </w:r>
      <w:r>
        <w:rPr>
          <w:rFonts w:hint="cs"/>
          <w:b/>
          <w:sz w:val="22"/>
          <w:szCs w:val="22"/>
          <w:rtl/>
          <w:lang w:val="en-GB" w:bidi="ar-JO"/>
        </w:rPr>
        <w:t>)؛</w:t>
      </w:r>
    </w:p>
    <w:p w:rsidR="00A13E09" w:rsidRDefault="00A13E09" w:rsidP="00921E74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استقاء الدروس من النشاطات السابقة ومراجعة وتعديل الاستراتيجيات </w:t>
      </w:r>
      <w:r w:rsidR="00921E74">
        <w:rPr>
          <w:rFonts w:hint="cs"/>
          <w:b/>
          <w:sz w:val="22"/>
          <w:szCs w:val="22"/>
          <w:rtl/>
          <w:lang w:val="en-GB" w:bidi="ar-JO"/>
        </w:rPr>
        <w:t>بناء عليها؛</w:t>
      </w:r>
    </w:p>
    <w:p w:rsidR="00DF1E18" w:rsidRDefault="00DF1E18" w:rsidP="00013448">
      <w:pPr>
        <w:pStyle w:val="ListParagraph"/>
        <w:numPr>
          <w:ilvl w:val="0"/>
          <w:numId w:val="5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تطوير استراتيجية </w:t>
      </w:r>
      <w:r w:rsidR="00013448">
        <w:rPr>
          <w:rFonts w:hint="cs"/>
          <w:b/>
          <w:sz w:val="22"/>
          <w:szCs w:val="22"/>
          <w:rtl/>
          <w:lang w:val="en-GB" w:bidi="ar-JO"/>
        </w:rPr>
        <w:t>للمرحلة الانتقالية والانسحاب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للمجموعة القطاعية.</w:t>
      </w:r>
    </w:p>
    <w:p w:rsidR="00A13E09" w:rsidRPr="00A13E09" w:rsidRDefault="00A13E09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930CD5" w:rsidRPr="00930CD5" w:rsidRDefault="00930CD5" w:rsidP="006418E2">
      <w:pPr>
        <w:jc w:val="both"/>
        <w:rPr>
          <w:sz w:val="22"/>
          <w:szCs w:val="22"/>
          <w:lang w:val="en-GB"/>
        </w:rPr>
      </w:pPr>
    </w:p>
    <w:p w:rsidR="00223830" w:rsidRPr="00921E74" w:rsidRDefault="00223830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تطبيق المعايير</w:t>
      </w:r>
    </w:p>
    <w:p w:rsidR="00223830" w:rsidRDefault="00223830" w:rsidP="00921E74">
      <w:pPr>
        <w:bidi/>
        <w:jc w:val="both"/>
        <w:rPr>
          <w:b/>
          <w:sz w:val="22"/>
          <w:szCs w:val="22"/>
          <w:rtl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أصدرت الشبكة المشتركة للتعليم في حالات الطوارئ </w:t>
      </w:r>
      <w:r>
        <w:rPr>
          <w:b/>
          <w:sz w:val="22"/>
          <w:szCs w:val="22"/>
          <w:rtl/>
          <w:lang w:val="en-GB" w:bidi="ar-JO"/>
        </w:rPr>
        <w:t>–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آيني معاييرا (تتوافق مع إرشادات إسفير) </w:t>
      </w:r>
      <w:r w:rsidR="00921E74">
        <w:rPr>
          <w:rFonts w:hint="cs"/>
          <w:b/>
          <w:sz w:val="22"/>
          <w:szCs w:val="22"/>
          <w:rtl/>
          <w:lang w:val="en-GB" w:bidi="ar-JO"/>
        </w:rPr>
        <w:t>لتقديم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التعليم في حالات الطوارئ. </w:t>
      </w:r>
    </w:p>
    <w:p w:rsidR="00223830" w:rsidRDefault="00223830" w:rsidP="006418E2">
      <w:pPr>
        <w:pStyle w:val="ListParagraph"/>
        <w:numPr>
          <w:ilvl w:val="0"/>
          <w:numId w:val="6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ضمان أن يكون المشاركون في المجموعات القطاعية مط</w:t>
      </w:r>
      <w:r w:rsidR="00921E74">
        <w:rPr>
          <w:rFonts w:hint="cs"/>
          <w:b/>
          <w:sz w:val="22"/>
          <w:szCs w:val="22"/>
          <w:rtl/>
          <w:lang w:val="en-GB" w:bidi="ar-JO"/>
        </w:rPr>
        <w:t>ّ</w:t>
      </w:r>
      <w:r>
        <w:rPr>
          <w:rFonts w:hint="cs"/>
          <w:b/>
          <w:sz w:val="22"/>
          <w:szCs w:val="22"/>
          <w:rtl/>
          <w:lang w:val="en-GB" w:bidi="ar-JO"/>
        </w:rPr>
        <w:t>لعين على إرشادات السياسات ذات العلاقة، والمعايير الفنية والالتزامات ذات العلاقة التي تعهدت بها الحكومات بموجب القانون الدولي لحقوق الإنسان؛</w:t>
      </w:r>
    </w:p>
    <w:p w:rsidR="00223830" w:rsidRDefault="00223830" w:rsidP="006418E2">
      <w:pPr>
        <w:pStyle w:val="ListParagraph"/>
        <w:numPr>
          <w:ilvl w:val="0"/>
          <w:numId w:val="6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lastRenderedPageBreak/>
        <w:t>ضمان أن تتوافق الاستجابات مع إرشادات السياسات الموجودة، والمعايير الفنية والالتزامات الحكومات القانونية بما يتعلق بحقوق الإنسان.</w:t>
      </w:r>
    </w:p>
    <w:p w:rsidR="00223830" w:rsidRDefault="00223830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223830" w:rsidRPr="00921E74" w:rsidRDefault="00223830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المتابعة وإعداد التقارير</w:t>
      </w:r>
    </w:p>
    <w:p w:rsidR="00223830" w:rsidRDefault="004B040A" w:rsidP="00921E74">
      <w:pPr>
        <w:pStyle w:val="ListParagraph"/>
        <w:numPr>
          <w:ilvl w:val="0"/>
          <w:numId w:val="7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ضمان وجود آليات كافية لمراجعة أثر </w:t>
      </w:r>
      <w:r w:rsidR="00921E74">
        <w:rPr>
          <w:rFonts w:hint="cs"/>
          <w:b/>
          <w:sz w:val="22"/>
          <w:szCs w:val="22"/>
          <w:rtl/>
          <w:lang w:val="en-GB" w:bidi="ar-JO"/>
        </w:rPr>
        <w:t>عمل المجموعات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القطاعية والتقدم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 الذي حققته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في تنفيذ الخطط؛</w:t>
      </w:r>
    </w:p>
    <w:p w:rsidR="004B040A" w:rsidRDefault="004B040A" w:rsidP="00921E74">
      <w:pPr>
        <w:pStyle w:val="ListParagraph"/>
        <w:numPr>
          <w:ilvl w:val="0"/>
          <w:numId w:val="7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ضمان وجود </w:t>
      </w:r>
      <w:r w:rsidR="00921E74">
        <w:rPr>
          <w:rFonts w:hint="cs"/>
          <w:b/>
          <w:sz w:val="22"/>
          <w:szCs w:val="22"/>
          <w:rtl/>
          <w:lang w:val="en-GB" w:bidi="ar-JO"/>
        </w:rPr>
        <w:t>تقارير</w:t>
      </w:r>
      <w:r>
        <w:rPr>
          <w:rFonts w:hint="cs"/>
          <w:b/>
          <w:sz w:val="22"/>
          <w:szCs w:val="22"/>
          <w:rtl/>
          <w:lang w:val="en-GB" w:bidi="ar-JO"/>
        </w:rPr>
        <w:t xml:space="preserve"> كافية والتشارك بالمعلومات بشكل فاعل (بدعم من مكتب الأمم المتحدة لتنسيق الشؤون الإنسانية)، 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وأن 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المعلومات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 الواردة فيها مفصلة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بحسب السن والجنس.</w:t>
      </w:r>
    </w:p>
    <w:p w:rsidR="004B040A" w:rsidRDefault="004B040A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4B040A" w:rsidRPr="00921E74" w:rsidRDefault="004B040A" w:rsidP="006418E2">
      <w:pPr>
        <w:bidi/>
        <w:jc w:val="both"/>
        <w:rPr>
          <w:bCs/>
          <w:sz w:val="22"/>
          <w:szCs w:val="22"/>
          <w:rtl/>
          <w:lang w:val="en-GB" w:bidi="ar-JO"/>
        </w:rPr>
      </w:pPr>
      <w:r w:rsidRPr="00921E74">
        <w:rPr>
          <w:rFonts w:hint="cs"/>
          <w:bCs/>
          <w:sz w:val="22"/>
          <w:szCs w:val="22"/>
          <w:rtl/>
          <w:lang w:val="en-GB" w:bidi="ar-JO"/>
        </w:rPr>
        <w:t>المناصرة وحشد الموارد</w:t>
      </w:r>
    </w:p>
    <w:p w:rsidR="004B040A" w:rsidRDefault="004B040A" w:rsidP="001356D6">
      <w:pPr>
        <w:pStyle w:val="ListParagraph"/>
        <w:numPr>
          <w:ilvl w:val="0"/>
          <w:numId w:val="8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>تحديد المخاوف الأساسية المتعلقة بالمناصرة، بما ف</w:t>
      </w:r>
      <w:r w:rsidR="00921E74">
        <w:rPr>
          <w:rFonts w:hint="cs"/>
          <w:b/>
          <w:sz w:val="22"/>
          <w:szCs w:val="22"/>
          <w:rtl/>
          <w:lang w:val="en-GB" w:bidi="ar-JO"/>
        </w:rPr>
        <w:t>يها متطلبات الموارد، والمساهمة في إعداد رسائل المناصرة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الرئيسية في مبادرات منسق </w:t>
      </w:r>
      <w:r w:rsidR="001356D6">
        <w:rPr>
          <w:rFonts w:hint="cs"/>
          <w:b/>
          <w:sz w:val="22"/>
          <w:szCs w:val="22"/>
          <w:rtl/>
          <w:lang w:val="en-GB" w:bidi="ar-JO"/>
        </w:rPr>
        <w:t>الشؤون الإنسانية</w:t>
      </w:r>
      <w:r w:rsidR="00921E74">
        <w:rPr>
          <w:rFonts w:hint="cs"/>
          <w:b/>
          <w:sz w:val="22"/>
          <w:szCs w:val="22"/>
          <w:rtl/>
          <w:lang w:val="en-GB" w:bidi="ar-JO"/>
        </w:rPr>
        <w:t xml:space="preserve"> والجهات الفاعلة الأخرى؛</w:t>
      </w:r>
    </w:p>
    <w:p w:rsidR="004B040A" w:rsidRDefault="004B040A" w:rsidP="001356D6">
      <w:pPr>
        <w:pStyle w:val="ListParagraph"/>
        <w:numPr>
          <w:ilvl w:val="0"/>
          <w:numId w:val="8"/>
        </w:numPr>
        <w:bidi/>
        <w:jc w:val="both"/>
        <w:rPr>
          <w:b/>
          <w:sz w:val="22"/>
          <w:szCs w:val="22"/>
          <w:lang w:val="en-GB" w:bidi="ar-JO"/>
        </w:rPr>
      </w:pPr>
      <w:r>
        <w:rPr>
          <w:rFonts w:hint="cs"/>
          <w:b/>
          <w:sz w:val="22"/>
          <w:szCs w:val="22"/>
          <w:rtl/>
          <w:lang w:val="en-GB" w:bidi="ar-JO"/>
        </w:rPr>
        <w:t xml:space="preserve">بذل جهود المناصرة </w:t>
      </w:r>
      <w:r w:rsidR="001356D6">
        <w:rPr>
          <w:rFonts w:hint="cs"/>
          <w:b/>
          <w:sz w:val="22"/>
          <w:szCs w:val="22"/>
          <w:rtl/>
          <w:lang w:val="en-GB" w:bidi="ar-JO"/>
        </w:rPr>
        <w:t>لصالح قيام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الجهات المانحة والجهات الفاعلة </w:t>
      </w:r>
      <w:r w:rsidR="001356D6">
        <w:rPr>
          <w:rFonts w:hint="cs"/>
          <w:b/>
          <w:sz w:val="22"/>
          <w:szCs w:val="22"/>
          <w:rtl/>
          <w:lang w:val="en-GB" w:bidi="ar-JO"/>
        </w:rPr>
        <w:t>في مجال الإغاثة الإنسانية</w:t>
      </w:r>
      <w:r>
        <w:rPr>
          <w:rFonts w:hint="cs"/>
          <w:b/>
          <w:sz w:val="22"/>
          <w:szCs w:val="22"/>
          <w:rtl/>
          <w:lang w:val="en-GB" w:bidi="ar-JO"/>
        </w:rPr>
        <w:t xml:space="preserve"> </w:t>
      </w:r>
      <w:r w:rsidR="001356D6">
        <w:rPr>
          <w:rFonts w:hint="cs"/>
          <w:b/>
          <w:sz w:val="22"/>
          <w:szCs w:val="22"/>
          <w:rtl/>
          <w:lang w:val="en-GB" w:bidi="ar-JO"/>
        </w:rPr>
        <w:t>ب</w:t>
      </w:r>
      <w:r>
        <w:rPr>
          <w:rFonts w:hint="cs"/>
          <w:b/>
          <w:sz w:val="22"/>
          <w:szCs w:val="22"/>
          <w:rtl/>
          <w:lang w:val="en-GB" w:bidi="ar-JO"/>
        </w:rPr>
        <w:t xml:space="preserve">تنفيذ النشاطات ذات الأولوية في القطاع </w:t>
      </w:r>
      <w:r w:rsidR="001356D6">
        <w:rPr>
          <w:rFonts w:hint="cs"/>
          <w:b/>
          <w:sz w:val="22"/>
          <w:szCs w:val="22"/>
          <w:rtl/>
          <w:lang w:val="en-GB" w:bidi="ar-JO"/>
        </w:rPr>
        <w:t>المعني</w:t>
      </w:r>
      <w:r>
        <w:rPr>
          <w:rFonts w:hint="cs"/>
          <w:b/>
          <w:sz w:val="22"/>
          <w:szCs w:val="22"/>
          <w:rtl/>
          <w:lang w:val="en-GB" w:bidi="ar-JO"/>
        </w:rPr>
        <w:t xml:space="preserve">، </w:t>
      </w:r>
      <w:r w:rsidR="001356D6">
        <w:rPr>
          <w:rFonts w:hint="cs"/>
          <w:b/>
          <w:sz w:val="22"/>
          <w:szCs w:val="22"/>
          <w:rtl/>
          <w:lang w:val="en-GB" w:bidi="ar-JO"/>
        </w:rPr>
        <w:t>و</w:t>
      </w:r>
      <w:r>
        <w:rPr>
          <w:rFonts w:hint="cs"/>
          <w:b/>
          <w:sz w:val="22"/>
          <w:szCs w:val="22"/>
          <w:rtl/>
          <w:lang w:val="en-GB" w:bidi="ar-JO"/>
        </w:rPr>
        <w:t>تشجيع المشاركين في المجموعات القطاعية</w:t>
      </w:r>
      <w:r w:rsidR="001356D6">
        <w:rPr>
          <w:rFonts w:hint="cs"/>
          <w:b/>
          <w:sz w:val="22"/>
          <w:szCs w:val="22"/>
          <w:rtl/>
          <w:lang w:val="en-GB" w:bidi="ar-JO"/>
        </w:rPr>
        <w:t xml:space="preserve"> بذات الوقت</w:t>
      </w:r>
      <w:r>
        <w:rPr>
          <w:rFonts w:hint="cs"/>
          <w:b/>
          <w:sz w:val="22"/>
          <w:szCs w:val="22"/>
          <w:rtl/>
          <w:lang w:val="en-GB" w:bidi="ar-JO"/>
        </w:rPr>
        <w:t xml:space="preserve"> على حشد الموارد لنشاطاتها من خلال القنوات الاعتيادية. </w:t>
      </w:r>
    </w:p>
    <w:p w:rsidR="00712ED0" w:rsidRDefault="00712ED0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712ED0" w:rsidRPr="001356D6" w:rsidRDefault="00712ED0" w:rsidP="006418E2">
      <w:pPr>
        <w:bidi/>
        <w:jc w:val="both"/>
        <w:rPr>
          <w:bCs/>
          <w:sz w:val="22"/>
          <w:szCs w:val="22"/>
          <w:rtl/>
          <w:lang w:val="de-DE" w:bidi="ar-JO"/>
        </w:rPr>
      </w:pPr>
      <w:r w:rsidRPr="001356D6">
        <w:rPr>
          <w:rFonts w:hint="cs"/>
          <w:bCs/>
          <w:sz w:val="22"/>
          <w:szCs w:val="22"/>
          <w:rtl/>
          <w:lang w:val="en-GB" w:bidi="ar-JO"/>
        </w:rPr>
        <w:t>التدريب وبناء القدرات</w:t>
      </w:r>
    </w:p>
    <w:p w:rsidR="00712ED0" w:rsidRDefault="00712ED0" w:rsidP="006418E2">
      <w:pPr>
        <w:pStyle w:val="ListParagraph"/>
        <w:numPr>
          <w:ilvl w:val="0"/>
          <w:numId w:val="9"/>
        </w:numPr>
        <w:bidi/>
        <w:jc w:val="both"/>
        <w:rPr>
          <w:b/>
          <w:sz w:val="22"/>
          <w:szCs w:val="22"/>
          <w:lang w:val="de-DE" w:bidi="ar-JO"/>
        </w:rPr>
      </w:pPr>
      <w:r>
        <w:rPr>
          <w:rFonts w:hint="cs"/>
          <w:b/>
          <w:sz w:val="22"/>
          <w:szCs w:val="22"/>
          <w:rtl/>
          <w:lang w:val="de-DE" w:bidi="ar-JO"/>
        </w:rPr>
        <w:t>تعزيز/ دعم تدريب العاملين وبناء قدرات الشركاء في مجال الإغاثة الإنسانية</w:t>
      </w:r>
      <w:r w:rsidR="001356D6">
        <w:rPr>
          <w:rFonts w:hint="cs"/>
          <w:b/>
          <w:sz w:val="22"/>
          <w:szCs w:val="22"/>
          <w:rtl/>
          <w:lang w:val="de-DE" w:bidi="ar-JO"/>
        </w:rPr>
        <w:t>؛</w:t>
      </w:r>
    </w:p>
    <w:p w:rsidR="00712ED0" w:rsidRDefault="00712ED0" w:rsidP="006418E2">
      <w:pPr>
        <w:pStyle w:val="ListParagraph"/>
        <w:numPr>
          <w:ilvl w:val="0"/>
          <w:numId w:val="9"/>
        </w:numPr>
        <w:bidi/>
        <w:jc w:val="both"/>
        <w:rPr>
          <w:b/>
          <w:sz w:val="22"/>
          <w:szCs w:val="22"/>
          <w:lang w:val="de-DE" w:bidi="ar-JO"/>
        </w:rPr>
      </w:pPr>
      <w:r>
        <w:rPr>
          <w:rFonts w:hint="cs"/>
          <w:b/>
          <w:sz w:val="22"/>
          <w:szCs w:val="22"/>
          <w:rtl/>
          <w:lang w:val="de-DE" w:bidi="ar-JO"/>
        </w:rPr>
        <w:t>دعم جهود تعزيز قدرات السلطات الوطنية والمجتمع المدني.</w:t>
      </w:r>
    </w:p>
    <w:p w:rsidR="00712ED0" w:rsidRDefault="00712ED0" w:rsidP="006418E2">
      <w:pPr>
        <w:bidi/>
        <w:jc w:val="both"/>
        <w:rPr>
          <w:b/>
          <w:sz w:val="22"/>
          <w:szCs w:val="22"/>
          <w:rtl/>
          <w:lang w:val="de-DE" w:bidi="ar-JO"/>
        </w:rPr>
      </w:pPr>
    </w:p>
    <w:p w:rsidR="00712ED0" w:rsidRPr="001356D6" w:rsidRDefault="00712ED0" w:rsidP="001356D6">
      <w:pPr>
        <w:bidi/>
        <w:jc w:val="both"/>
        <w:rPr>
          <w:bCs/>
          <w:sz w:val="22"/>
          <w:szCs w:val="22"/>
          <w:rtl/>
          <w:lang w:val="de-DE" w:bidi="ar-JO"/>
        </w:rPr>
      </w:pPr>
      <w:r w:rsidRPr="001356D6">
        <w:rPr>
          <w:rFonts w:hint="cs"/>
          <w:bCs/>
          <w:sz w:val="22"/>
          <w:szCs w:val="22"/>
          <w:rtl/>
          <w:lang w:val="de-DE" w:bidi="ar-JO"/>
        </w:rPr>
        <w:t xml:space="preserve">توفير المساعدة أو الخدمات </w:t>
      </w:r>
      <w:r w:rsidR="001356D6">
        <w:rPr>
          <w:rFonts w:hint="cs"/>
          <w:bCs/>
          <w:sz w:val="22"/>
          <w:szCs w:val="22"/>
          <w:rtl/>
          <w:lang w:val="de-DE" w:bidi="ar-JO"/>
        </w:rPr>
        <w:t>كملاذ</w:t>
      </w:r>
      <w:r w:rsidRPr="001356D6">
        <w:rPr>
          <w:rFonts w:hint="cs"/>
          <w:bCs/>
          <w:sz w:val="22"/>
          <w:szCs w:val="22"/>
          <w:rtl/>
          <w:lang w:val="de-DE" w:bidi="ar-JO"/>
        </w:rPr>
        <w:t xml:space="preserve"> أخير</w:t>
      </w:r>
    </w:p>
    <w:p w:rsidR="00712ED0" w:rsidRDefault="00712ED0" w:rsidP="001356D6">
      <w:pPr>
        <w:pStyle w:val="ListParagraph"/>
        <w:numPr>
          <w:ilvl w:val="0"/>
          <w:numId w:val="10"/>
        </w:numPr>
        <w:bidi/>
        <w:jc w:val="both"/>
        <w:rPr>
          <w:b/>
          <w:sz w:val="22"/>
          <w:szCs w:val="22"/>
          <w:lang w:val="de-DE" w:bidi="ar-JO"/>
        </w:rPr>
      </w:pPr>
      <w:r>
        <w:rPr>
          <w:rFonts w:hint="cs"/>
          <w:b/>
          <w:sz w:val="22"/>
          <w:szCs w:val="22"/>
          <w:rtl/>
          <w:lang w:val="de-DE" w:bidi="ar-JO"/>
        </w:rPr>
        <w:t xml:space="preserve">بحسب ما اتفق عليه في مبادئ </w:t>
      </w:r>
      <w:r w:rsidR="001356D6">
        <w:rPr>
          <w:rFonts w:hint="cs"/>
          <w:b/>
          <w:sz w:val="22"/>
          <w:szCs w:val="22"/>
          <w:rtl/>
          <w:lang w:val="de-DE" w:bidi="ar-JO"/>
        </w:rPr>
        <w:t>اللجنة</w:t>
      </w:r>
      <w:r>
        <w:rPr>
          <w:rFonts w:hint="cs"/>
          <w:b/>
          <w:sz w:val="22"/>
          <w:szCs w:val="22"/>
          <w:rtl/>
          <w:lang w:val="de-DE" w:bidi="ar-JO"/>
        </w:rPr>
        <w:t xml:space="preserve"> الدائمة المشتركة بين وكالات الأمم المتحدة، يتولى قادة كل قطاع مسئولية العمل </w:t>
      </w:r>
      <w:r w:rsidR="001356D6">
        <w:rPr>
          <w:rFonts w:hint="cs"/>
          <w:b/>
          <w:sz w:val="22"/>
          <w:szCs w:val="22"/>
          <w:rtl/>
          <w:lang w:val="de-DE" w:bidi="ar-JO"/>
        </w:rPr>
        <w:t>تقديم المساعدة والخدمات</w:t>
      </w:r>
      <w:r>
        <w:rPr>
          <w:rFonts w:hint="cs"/>
          <w:b/>
          <w:sz w:val="22"/>
          <w:szCs w:val="22"/>
          <w:rtl/>
          <w:lang w:val="de-DE" w:bidi="ar-JO"/>
        </w:rPr>
        <w:t xml:space="preserve"> </w:t>
      </w:r>
      <w:r w:rsidR="001356D6">
        <w:rPr>
          <w:rFonts w:hint="cs"/>
          <w:b/>
          <w:sz w:val="22"/>
          <w:szCs w:val="22"/>
          <w:rtl/>
          <w:lang w:val="de-DE" w:bidi="ar-JO"/>
        </w:rPr>
        <w:t>كملاذ</w:t>
      </w:r>
      <w:r>
        <w:rPr>
          <w:rFonts w:hint="cs"/>
          <w:b/>
          <w:sz w:val="22"/>
          <w:szCs w:val="22"/>
          <w:rtl/>
          <w:lang w:val="de-DE" w:bidi="ar-JO"/>
        </w:rPr>
        <w:t xml:space="preserve"> الأخير (بحسب القدرة على الوصول والأمن وتوفر التمويل) لتلبية الأولويات المتفق عليها، </w:t>
      </w:r>
      <w:r w:rsidR="001356D6">
        <w:rPr>
          <w:rFonts w:hint="cs"/>
          <w:b/>
          <w:sz w:val="22"/>
          <w:szCs w:val="22"/>
          <w:rtl/>
          <w:lang w:val="de-DE" w:bidi="ar-JO"/>
        </w:rPr>
        <w:t>وستتلقى القطاعات</w:t>
      </w:r>
      <w:r>
        <w:rPr>
          <w:rFonts w:hint="cs"/>
          <w:b/>
          <w:sz w:val="22"/>
          <w:szCs w:val="22"/>
          <w:rtl/>
          <w:lang w:val="de-DE" w:bidi="ar-JO"/>
        </w:rPr>
        <w:t xml:space="preserve"> الدعم من منسق </w:t>
      </w:r>
      <w:r w:rsidR="001356D6">
        <w:rPr>
          <w:rFonts w:hint="cs"/>
          <w:b/>
          <w:sz w:val="22"/>
          <w:szCs w:val="22"/>
          <w:rtl/>
          <w:lang w:val="de-DE" w:bidi="ar-JO"/>
        </w:rPr>
        <w:t xml:space="preserve">الشؤون </w:t>
      </w:r>
      <w:r>
        <w:rPr>
          <w:rFonts w:hint="cs"/>
          <w:b/>
          <w:sz w:val="22"/>
          <w:szCs w:val="22"/>
          <w:rtl/>
          <w:lang w:val="de-DE" w:bidi="ar-JO"/>
        </w:rPr>
        <w:t>الإنسانية ومركز الاستجابة لحالات الطوارئ في جه</w:t>
      </w:r>
      <w:r w:rsidR="001356D6">
        <w:rPr>
          <w:rFonts w:hint="cs"/>
          <w:b/>
          <w:sz w:val="22"/>
          <w:szCs w:val="22"/>
          <w:rtl/>
          <w:lang w:val="de-DE" w:bidi="ar-JO"/>
        </w:rPr>
        <w:t>ودها لحشد الموارد في هذا المجال؛</w:t>
      </w:r>
    </w:p>
    <w:p w:rsidR="00712ED0" w:rsidRDefault="00712ED0" w:rsidP="006418E2">
      <w:pPr>
        <w:pStyle w:val="ListParagraph"/>
        <w:numPr>
          <w:ilvl w:val="0"/>
          <w:numId w:val="10"/>
        </w:numPr>
        <w:bidi/>
        <w:jc w:val="both"/>
        <w:rPr>
          <w:b/>
          <w:sz w:val="22"/>
          <w:szCs w:val="22"/>
          <w:lang w:val="de-DE" w:bidi="ar-JO"/>
        </w:rPr>
      </w:pPr>
      <w:r>
        <w:rPr>
          <w:rFonts w:hint="cs"/>
          <w:b/>
          <w:sz w:val="22"/>
          <w:szCs w:val="22"/>
          <w:rtl/>
          <w:lang w:val="de-DE" w:bidi="ar-JO"/>
        </w:rPr>
        <w:t xml:space="preserve">سيتم تطبيق هذا المفهوم بطريقة ملائمة وواقعية للقضايا المشتركة بين القطاعات مثل الحماية والتعافي المبكر وتنسيق المخيمات. </w:t>
      </w:r>
    </w:p>
    <w:p w:rsidR="002A5618" w:rsidRDefault="002A5618" w:rsidP="006418E2">
      <w:pPr>
        <w:pStyle w:val="ListParagraph"/>
        <w:bidi/>
        <w:jc w:val="both"/>
        <w:rPr>
          <w:b/>
          <w:sz w:val="22"/>
          <w:szCs w:val="22"/>
          <w:rtl/>
          <w:lang w:val="de-DE" w:bidi="ar-JO"/>
        </w:rPr>
      </w:pPr>
    </w:p>
    <w:p w:rsidR="00712ED0" w:rsidRPr="00712ED0" w:rsidRDefault="002A5618" w:rsidP="001356D6">
      <w:pPr>
        <w:pStyle w:val="ListParagraph"/>
        <w:bidi/>
        <w:ind w:left="-1"/>
        <w:jc w:val="both"/>
        <w:rPr>
          <w:b/>
          <w:sz w:val="22"/>
          <w:szCs w:val="22"/>
          <w:rtl/>
          <w:lang w:val="de-DE" w:bidi="ar-JO"/>
        </w:rPr>
      </w:pPr>
      <w:r>
        <w:rPr>
          <w:rFonts w:hint="cs"/>
          <w:b/>
          <w:sz w:val="22"/>
          <w:szCs w:val="22"/>
          <w:rtl/>
          <w:lang w:val="de-DE" w:bidi="ar-JO"/>
        </w:rPr>
        <w:t xml:space="preserve">يتوقع من الجهات الفاعلة في مجال الإغاثة الإنسانية </w:t>
      </w:r>
      <w:r w:rsidR="001356D6">
        <w:rPr>
          <w:rFonts w:hint="cs"/>
          <w:b/>
          <w:sz w:val="22"/>
          <w:szCs w:val="22"/>
          <w:rtl/>
          <w:lang w:val="de-DE" w:bidi="ar-JO"/>
        </w:rPr>
        <w:t>التي تشارك</w:t>
      </w:r>
      <w:r>
        <w:rPr>
          <w:rFonts w:hint="cs"/>
          <w:b/>
          <w:sz w:val="22"/>
          <w:szCs w:val="22"/>
          <w:rtl/>
          <w:lang w:val="de-DE" w:bidi="ar-JO"/>
        </w:rPr>
        <w:t xml:space="preserve"> في تطوير خطط </w:t>
      </w:r>
      <w:r w:rsidR="001356D6">
        <w:rPr>
          <w:rFonts w:hint="cs"/>
          <w:b/>
          <w:sz w:val="22"/>
          <w:szCs w:val="22"/>
          <w:rtl/>
          <w:lang w:val="de-DE" w:bidi="ar-JO"/>
        </w:rPr>
        <w:t>مشتركة</w:t>
      </w:r>
      <w:r>
        <w:rPr>
          <w:rFonts w:hint="cs"/>
          <w:b/>
          <w:sz w:val="22"/>
          <w:szCs w:val="22"/>
          <w:rtl/>
          <w:lang w:val="de-DE" w:bidi="ar-JO"/>
        </w:rPr>
        <w:t xml:space="preserve"> للعمل الإنساني أن تكون شريكا فاعلا في تقييم الاحتياجات وتطوير استراتيجيات وخطط القطاع وتنفيذ النشاطات ذات الأولوية المتفق عليها. كما يجب أن تتيح المجموعات </w:t>
      </w:r>
      <w:r w:rsidR="001356D6">
        <w:rPr>
          <w:rFonts w:hint="cs"/>
          <w:b/>
          <w:sz w:val="22"/>
          <w:szCs w:val="22"/>
          <w:rtl/>
          <w:lang w:val="de-DE" w:bidi="ar-JO"/>
        </w:rPr>
        <w:t>القطاعية</w:t>
      </w:r>
      <w:r>
        <w:rPr>
          <w:rFonts w:hint="cs"/>
          <w:b/>
          <w:sz w:val="22"/>
          <w:szCs w:val="22"/>
          <w:rtl/>
          <w:lang w:val="de-DE" w:bidi="ar-JO"/>
        </w:rPr>
        <w:t xml:space="preserve"> للجهات الفاعلة في مجال الإغاثة الإنسانية </w:t>
      </w:r>
      <w:r w:rsidR="001356D6">
        <w:rPr>
          <w:rFonts w:hint="cs"/>
          <w:b/>
          <w:sz w:val="22"/>
          <w:szCs w:val="22"/>
          <w:rtl/>
          <w:lang w:val="de-DE" w:bidi="ar-JO"/>
        </w:rPr>
        <w:t>المشاركة</w:t>
      </w:r>
      <w:r>
        <w:rPr>
          <w:rFonts w:hint="cs"/>
          <w:b/>
          <w:sz w:val="22"/>
          <w:szCs w:val="22"/>
          <w:rtl/>
          <w:lang w:val="de-DE" w:bidi="ar-JO"/>
        </w:rPr>
        <w:t xml:space="preserve"> </w:t>
      </w:r>
      <w:r w:rsidR="001356D6">
        <w:rPr>
          <w:rFonts w:hint="cs"/>
          <w:b/>
          <w:sz w:val="22"/>
          <w:szCs w:val="22"/>
          <w:rtl/>
          <w:lang w:val="de-DE" w:bidi="ar-JO"/>
        </w:rPr>
        <w:t>بصفة ’مراقب‘</w:t>
      </w:r>
      <w:r>
        <w:rPr>
          <w:rFonts w:hint="cs"/>
          <w:b/>
          <w:sz w:val="22"/>
          <w:szCs w:val="22"/>
          <w:rtl/>
          <w:lang w:val="de-DE" w:bidi="ar-JO"/>
        </w:rPr>
        <w:t xml:space="preserve">، وخاصة لأغراض التشارك بالمعلومات. </w:t>
      </w:r>
    </w:p>
    <w:p w:rsidR="00712ED0" w:rsidRPr="00712ED0" w:rsidRDefault="00712ED0" w:rsidP="006418E2">
      <w:pPr>
        <w:bidi/>
        <w:jc w:val="both"/>
        <w:rPr>
          <w:b/>
          <w:sz w:val="22"/>
          <w:szCs w:val="22"/>
          <w:lang w:val="de-DE" w:bidi="ar-JO"/>
        </w:rPr>
      </w:pPr>
    </w:p>
    <w:p w:rsidR="00223830" w:rsidRPr="00223830" w:rsidRDefault="00223830" w:rsidP="006418E2">
      <w:pPr>
        <w:bidi/>
        <w:jc w:val="both"/>
        <w:rPr>
          <w:b/>
          <w:sz w:val="22"/>
          <w:szCs w:val="22"/>
          <w:rtl/>
          <w:lang w:val="en-GB" w:bidi="ar-JO"/>
        </w:rPr>
      </w:pPr>
    </w:p>
    <w:p w:rsidR="00930CD5" w:rsidRPr="00930CD5" w:rsidRDefault="00930CD5" w:rsidP="006418E2">
      <w:pPr>
        <w:ind w:left="540"/>
        <w:jc w:val="both"/>
        <w:rPr>
          <w:b/>
          <w:sz w:val="22"/>
          <w:szCs w:val="22"/>
          <w:lang w:val="en-GB"/>
        </w:rPr>
      </w:pPr>
    </w:p>
    <w:p w:rsidR="00930CD5" w:rsidRPr="00930CD5" w:rsidRDefault="00930CD5" w:rsidP="006418E2">
      <w:pPr>
        <w:ind w:left="540"/>
        <w:jc w:val="both"/>
        <w:rPr>
          <w:sz w:val="22"/>
          <w:szCs w:val="22"/>
          <w:lang w:val="en-GB"/>
        </w:rPr>
      </w:pPr>
    </w:p>
    <w:p w:rsidR="00930CD5" w:rsidRPr="00930CD5" w:rsidRDefault="00930CD5" w:rsidP="006418E2">
      <w:pPr>
        <w:ind w:left="540"/>
        <w:jc w:val="both"/>
        <w:rPr>
          <w:sz w:val="22"/>
          <w:szCs w:val="22"/>
          <w:lang w:val="en-GB"/>
        </w:rPr>
      </w:pPr>
    </w:p>
    <w:p w:rsidR="00930CD5" w:rsidRPr="00930CD5" w:rsidRDefault="00930CD5" w:rsidP="006418E2">
      <w:pPr>
        <w:ind w:left="540"/>
        <w:jc w:val="both"/>
        <w:rPr>
          <w:sz w:val="22"/>
          <w:szCs w:val="22"/>
          <w:lang w:val="en-GB"/>
        </w:rPr>
      </w:pPr>
    </w:p>
    <w:p w:rsidR="00930CD5" w:rsidRPr="006418E2" w:rsidRDefault="00930CD5" w:rsidP="006418E2">
      <w:pPr>
        <w:jc w:val="both"/>
        <w:rPr>
          <w:sz w:val="22"/>
          <w:szCs w:val="22"/>
          <w:lang w:val="de-DE"/>
        </w:rPr>
      </w:pPr>
    </w:p>
    <w:p w:rsidR="00930CD5" w:rsidRPr="00930CD5" w:rsidRDefault="00930CD5" w:rsidP="006418E2">
      <w:pPr>
        <w:jc w:val="both"/>
        <w:rPr>
          <w:lang w:val="en-GB"/>
        </w:rPr>
      </w:pPr>
    </w:p>
    <w:p w:rsidR="00CA54C5" w:rsidRPr="00930CD5" w:rsidRDefault="00CA54C5" w:rsidP="006418E2">
      <w:pPr>
        <w:jc w:val="both"/>
        <w:rPr>
          <w:lang w:val="en-GB"/>
        </w:rPr>
      </w:pPr>
    </w:p>
    <w:sectPr w:rsidR="00CA54C5" w:rsidRPr="00930CD5" w:rsidSect="00D12339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790"/>
    <w:multiLevelType w:val="hybridMultilevel"/>
    <w:tmpl w:val="B72A64AC"/>
    <w:lvl w:ilvl="0" w:tplc="EFA63A9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1191C"/>
    <w:multiLevelType w:val="hybridMultilevel"/>
    <w:tmpl w:val="D4648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32CB3"/>
    <w:multiLevelType w:val="hybridMultilevel"/>
    <w:tmpl w:val="223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65BCE"/>
    <w:multiLevelType w:val="hybridMultilevel"/>
    <w:tmpl w:val="C910EF9E"/>
    <w:lvl w:ilvl="0" w:tplc="EFA63A9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51D13"/>
    <w:multiLevelType w:val="hybridMultilevel"/>
    <w:tmpl w:val="1110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A20BE"/>
    <w:multiLevelType w:val="hybridMultilevel"/>
    <w:tmpl w:val="F8E4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62DCE"/>
    <w:multiLevelType w:val="hybridMultilevel"/>
    <w:tmpl w:val="DF20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F4784"/>
    <w:multiLevelType w:val="hybridMultilevel"/>
    <w:tmpl w:val="9810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26241"/>
    <w:multiLevelType w:val="hybridMultilevel"/>
    <w:tmpl w:val="B3788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7A4C3C"/>
    <w:multiLevelType w:val="hybridMultilevel"/>
    <w:tmpl w:val="B39CE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E2"/>
    <w:rsid w:val="00013448"/>
    <w:rsid w:val="000B1C0A"/>
    <w:rsid w:val="001356D6"/>
    <w:rsid w:val="00223830"/>
    <w:rsid w:val="002A5618"/>
    <w:rsid w:val="002E2CDF"/>
    <w:rsid w:val="004B040A"/>
    <w:rsid w:val="006418E2"/>
    <w:rsid w:val="006537E2"/>
    <w:rsid w:val="00712ED0"/>
    <w:rsid w:val="007C1D75"/>
    <w:rsid w:val="007E1608"/>
    <w:rsid w:val="008823CB"/>
    <w:rsid w:val="008C5426"/>
    <w:rsid w:val="00921E74"/>
    <w:rsid w:val="00930CD5"/>
    <w:rsid w:val="00A13E09"/>
    <w:rsid w:val="00B465E2"/>
    <w:rsid w:val="00BC29A3"/>
    <w:rsid w:val="00CA54C5"/>
    <w:rsid w:val="00CF5E3E"/>
    <w:rsid w:val="00D12339"/>
    <w:rsid w:val="00D46463"/>
    <w:rsid w:val="00D95F21"/>
    <w:rsid w:val="00DF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IASC - Generic Terms of Reference for Cluster Leads</vt:lpstr>
    </vt:vector>
  </TitlesOfParts>
  <Company>Save the Children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IASC - Generic Terms of Reference for Cluster Leads</dc:title>
  <dc:creator>coe</dc:creator>
  <cp:lastModifiedBy>MENARO Education</cp:lastModifiedBy>
  <cp:revision>2</cp:revision>
  <dcterms:created xsi:type="dcterms:W3CDTF">2016-02-05T09:47:00Z</dcterms:created>
  <dcterms:modified xsi:type="dcterms:W3CDTF">2016-02-05T09:47:00Z</dcterms:modified>
</cp:coreProperties>
</file>